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CA5" w:rsidRDefault="009D3CA5" w:rsidP="009D3CA5">
      <w:pPr>
        <w:rPr>
          <w:b/>
        </w:rPr>
      </w:pPr>
      <w:r>
        <w:rPr>
          <w:b/>
        </w:rPr>
        <w:t>Prof. Dr. Eva-Maria Kieninger</w:t>
      </w:r>
    </w:p>
    <w:p w:rsidR="009D3CA5" w:rsidRDefault="009D3CA5" w:rsidP="00A80848">
      <w:pPr>
        <w:jc w:val="center"/>
        <w:rPr>
          <w:b/>
        </w:rPr>
      </w:pPr>
    </w:p>
    <w:p w:rsidR="006D3904" w:rsidRDefault="009D3CA5" w:rsidP="00A80848">
      <w:pPr>
        <w:jc w:val="center"/>
        <w:rPr>
          <w:b/>
        </w:rPr>
      </w:pPr>
      <w:r>
        <w:rPr>
          <w:b/>
        </w:rPr>
        <w:t>„</w:t>
      </w:r>
      <w:r w:rsidR="006D3904" w:rsidRPr="00A80848">
        <w:rPr>
          <w:b/>
        </w:rPr>
        <w:t>Schnuppervorlesung</w:t>
      </w:r>
      <w:r>
        <w:rPr>
          <w:b/>
        </w:rPr>
        <w:t>“</w:t>
      </w:r>
      <w:r w:rsidR="006D3904" w:rsidRPr="00A80848">
        <w:rPr>
          <w:b/>
        </w:rPr>
        <w:t xml:space="preserve"> IPR</w:t>
      </w:r>
      <w:r>
        <w:rPr>
          <w:b/>
        </w:rPr>
        <w:t>/IZVR, Montag 4.2.2019, 10 c.t.</w:t>
      </w:r>
    </w:p>
    <w:p w:rsidR="00E71E7C" w:rsidRPr="00A80848" w:rsidRDefault="00E71E7C" w:rsidP="00A80848">
      <w:pPr>
        <w:jc w:val="center"/>
        <w:rPr>
          <w:b/>
        </w:rPr>
      </w:pPr>
      <w:r>
        <w:rPr>
          <w:b/>
        </w:rPr>
        <w:t>Schwerpunkte 3 und 4 (StPrO 2016)</w:t>
      </w:r>
    </w:p>
    <w:p w:rsidR="00B57CF2" w:rsidRDefault="00B57CF2">
      <w:pPr>
        <w:rPr>
          <w:b/>
        </w:rPr>
      </w:pPr>
    </w:p>
    <w:p w:rsidR="00147462" w:rsidRDefault="00147462">
      <w:pPr>
        <w:rPr>
          <w:b/>
        </w:rPr>
      </w:pPr>
      <w:bookmarkStart w:id="0" w:name="_GoBack"/>
      <w:bookmarkEnd w:id="0"/>
    </w:p>
    <w:p w:rsidR="00B57CF2" w:rsidRPr="00B57CF2" w:rsidRDefault="00B57CF2">
      <w:pPr>
        <w:rPr>
          <w:b/>
        </w:rPr>
      </w:pPr>
      <w:r w:rsidRPr="00B57CF2">
        <w:rPr>
          <w:b/>
        </w:rPr>
        <w:t>I. Internationales Privatrecht: Welches (nationale) Recht ist auf einen grenzüberschreitenden Privatrechtssachverhalt anwendbar?</w:t>
      </w:r>
    </w:p>
    <w:p w:rsidR="00E71E7C" w:rsidRDefault="00E71E7C">
      <w:r>
        <w:t xml:space="preserve">Fall 1: Die S-AG, ein in Deutschland ansässiges Unternehmen, das u.a. Windkraftanlagen herstellt, will entsprechende Anlagen </w:t>
      </w:r>
      <w:r w:rsidR="006D3904">
        <w:t>für verschiedene Windparks in Deutsch</w:t>
      </w:r>
      <w:r>
        <w:t>land, Dänemark, Norwegen und Ir</w:t>
      </w:r>
      <w:r w:rsidR="006D3904">
        <w:t>l</w:t>
      </w:r>
      <w:r>
        <w:t xml:space="preserve">and fertigen, </w:t>
      </w:r>
      <w:r w:rsidR="006D3904">
        <w:t>sie den jeweiligen Betreib</w:t>
      </w:r>
      <w:r>
        <w:t>e</w:t>
      </w:r>
      <w:r w:rsidR="006D3904">
        <w:t>rn liefer</w:t>
      </w:r>
      <w:r>
        <w:t>n</w:t>
      </w:r>
      <w:r w:rsidR="006D3904">
        <w:t xml:space="preserve"> und vor Ort montier</w:t>
      </w:r>
      <w:r>
        <w:t>en</w:t>
      </w:r>
      <w:r w:rsidR="006D3904">
        <w:t xml:space="preserve">. Welches Recht </w:t>
      </w:r>
      <w:r>
        <w:t>ist</w:t>
      </w:r>
      <w:r w:rsidR="006D3904">
        <w:t xml:space="preserve"> auf die jeweiligen Verträge anwendba</w:t>
      </w:r>
      <w:r>
        <w:t>r</w:t>
      </w:r>
      <w:r w:rsidR="006D3904">
        <w:t xml:space="preserve">? </w:t>
      </w:r>
    </w:p>
    <w:p w:rsidR="00E71E7C" w:rsidRDefault="00E71E7C">
      <w:r>
        <w:t>Fall 2: Achilles Apostolos (A) und Eurydike Evangelios (E), beide griechische Staatsangehörige, schl</w:t>
      </w:r>
      <w:r w:rsidR="00FB1302">
        <w:t>i</w:t>
      </w:r>
      <w:r>
        <w:t xml:space="preserve">eßen </w:t>
      </w:r>
      <w:r w:rsidR="006D3904">
        <w:t>in Griechenland vor einem Popen</w:t>
      </w:r>
      <w:r>
        <w:t xml:space="preserve"> die Ehe. </w:t>
      </w:r>
      <w:r w:rsidR="00FB1302">
        <w:t xml:space="preserve">Zwei Jahre später siedeln sie nach Deutschland um und geben bei Abgabe ihrer Steuererklärung an, sie seien verheiratet. </w:t>
      </w:r>
    </w:p>
    <w:p w:rsidR="00B57CF2" w:rsidRPr="00B57CF2" w:rsidRDefault="00B57CF2">
      <w:pPr>
        <w:rPr>
          <w:b/>
        </w:rPr>
      </w:pPr>
      <w:r w:rsidRPr="00B57CF2">
        <w:rPr>
          <w:b/>
        </w:rPr>
        <w:t>II. Internationales Zivilverfahrensrecht: Welche Gerichte sind zuständig?</w:t>
      </w:r>
    </w:p>
    <w:p w:rsidR="00E71E7C" w:rsidRPr="00FB1302" w:rsidRDefault="00FB1302" w:rsidP="00E71E7C">
      <w:pPr>
        <w:rPr>
          <w:rFonts w:cstheme="minorHAnsi"/>
        </w:rPr>
      </w:pPr>
      <w:r w:rsidRPr="00FB1302">
        <w:rPr>
          <w:rFonts w:cstheme="minorHAnsi"/>
        </w:rPr>
        <w:t xml:space="preserve">Fall 3 (nach </w:t>
      </w:r>
      <w:r w:rsidR="00E71E7C" w:rsidRPr="00FB1302">
        <w:rPr>
          <w:rFonts w:cstheme="minorHAnsi"/>
        </w:rPr>
        <w:t xml:space="preserve">EuGH v. 12.5.2011, Rs. C-144/11 </w:t>
      </w:r>
      <w:r w:rsidR="00E71E7C" w:rsidRPr="00FB1302">
        <w:rPr>
          <w:rFonts w:cstheme="minorHAnsi"/>
          <w:i/>
        </w:rPr>
        <w:t>Berliner Verkehrsbetriebe/JP Morgan</w:t>
      </w:r>
      <w:r w:rsidR="00E71E7C" w:rsidRPr="00FB1302">
        <w:rPr>
          <w:rFonts w:cstheme="minorHAnsi"/>
        </w:rPr>
        <w:t>)</w:t>
      </w:r>
      <w:r w:rsidR="00B57CF2">
        <w:rPr>
          <w:rFonts w:cstheme="minorHAnsi"/>
        </w:rPr>
        <w:t>:</w:t>
      </w:r>
    </w:p>
    <w:p w:rsidR="00E71E7C" w:rsidRPr="00FB1302" w:rsidRDefault="00E71E7C" w:rsidP="00E71E7C">
      <w:pPr>
        <w:rPr>
          <w:rFonts w:cstheme="minorHAnsi"/>
        </w:rPr>
      </w:pPr>
      <w:r w:rsidRPr="00FB1302">
        <w:rPr>
          <w:rFonts w:cstheme="minorHAnsi"/>
        </w:rPr>
        <w:t>Die BVG schloss verschiedene Cross-Border Leasing-Geschäfte mit amerikanischen Unternehmen ab und sicherte sich durch Währungs-Swap-Geschäfte mit der JP Morgan Bank gegen mögliche Wechselkursschwankungen zwischen Euro und Dollar ab. In den Verträgen wurde London als Gerichtsstand vereinbart.</w:t>
      </w:r>
    </w:p>
    <w:p w:rsidR="00E71E7C" w:rsidRPr="00FB1302" w:rsidRDefault="00E71E7C" w:rsidP="00E71E7C">
      <w:pPr>
        <w:rPr>
          <w:rFonts w:cstheme="minorHAnsi"/>
        </w:rPr>
      </w:pPr>
      <w:r w:rsidRPr="00FB1302">
        <w:rPr>
          <w:rFonts w:cstheme="minorHAnsi"/>
        </w:rPr>
        <w:t>Durch die weltweite Banken- und Finanzkrise bedingt, endeten die Swap-Geschäfte mit einem Verlust für die BVG in Millionenhöhe. Gegen die vor dem Londoner High Court erhobene Zahlungsklage der Bank wehrt sich die BVG mit der Rüge der Unzuständigkeit. Der Vorstand der BGV sei nicht befugt gewesen, die Swap-Verträge abzuschließen, da sich diese Geschäfte außerhalb des Zwecks der Gesellschaft befinden würden (</w:t>
      </w:r>
      <w:r w:rsidRPr="00FB1302">
        <w:rPr>
          <w:rFonts w:cstheme="minorHAnsi"/>
          <w:i/>
        </w:rPr>
        <w:t>ultra vires</w:t>
      </w:r>
      <w:r w:rsidRPr="00FB1302">
        <w:rPr>
          <w:rFonts w:cstheme="minorHAnsi"/>
        </w:rPr>
        <w:t xml:space="preserve">). Der entsprechende Gesellschafterbeschluss sei nichtig gewesen. </w:t>
      </w:r>
    </w:p>
    <w:p w:rsidR="00E71E7C" w:rsidRPr="00FB1302" w:rsidRDefault="00E71E7C" w:rsidP="00E71E7C">
      <w:pPr>
        <w:rPr>
          <w:rFonts w:cstheme="minorHAnsi"/>
        </w:rPr>
      </w:pPr>
      <w:r w:rsidRPr="00FB1302">
        <w:rPr>
          <w:rFonts w:cstheme="minorHAnsi"/>
        </w:rPr>
        <w:t xml:space="preserve">Unterstellt, der Einwand der Bekl. trifft zu: Ist der High Court international zuständig? </w:t>
      </w:r>
    </w:p>
    <w:p w:rsidR="00DC1CFD" w:rsidRPr="00B57CF2" w:rsidRDefault="00E71E7C">
      <w:pPr>
        <w:rPr>
          <w:b/>
        </w:rPr>
      </w:pPr>
      <w:r w:rsidRPr="00B57CF2">
        <w:rPr>
          <w:b/>
        </w:rPr>
        <w:t xml:space="preserve">III. </w:t>
      </w:r>
      <w:r w:rsidR="00DC1CFD" w:rsidRPr="00B57CF2">
        <w:rPr>
          <w:b/>
        </w:rPr>
        <w:t>Internationale Sachrechtsvereinheitlichung</w:t>
      </w:r>
    </w:p>
    <w:p w:rsidR="00DC1CFD" w:rsidRDefault="00B57CF2">
      <w:r>
        <w:t>1. A</w:t>
      </w:r>
      <w:r w:rsidR="00DC1CFD">
        <w:t>uf europäischer Ebene</w:t>
      </w:r>
    </w:p>
    <w:p w:rsidR="00DC1CFD" w:rsidRDefault="00B57CF2">
      <w:r>
        <w:t>2. A</w:t>
      </w:r>
      <w:r w:rsidR="00DC1CFD">
        <w:t xml:space="preserve">uf weltweiter Ebene </w:t>
      </w:r>
    </w:p>
    <w:p w:rsidR="00E71E7C" w:rsidRDefault="00E71E7C">
      <w:pPr>
        <w:rPr>
          <w:b/>
        </w:rPr>
      </w:pPr>
      <w:r w:rsidRPr="00B57CF2">
        <w:rPr>
          <w:b/>
        </w:rPr>
        <w:t>IV. Rechtsvergleichung</w:t>
      </w:r>
    </w:p>
    <w:p w:rsidR="009D3CA5" w:rsidRDefault="009D3CA5">
      <w:pPr>
        <w:rPr>
          <w:b/>
          <w:sz w:val="24"/>
          <w:szCs w:val="24"/>
        </w:rPr>
      </w:pPr>
      <w:r>
        <w:rPr>
          <w:b/>
          <w:sz w:val="24"/>
          <w:szCs w:val="24"/>
        </w:rPr>
        <w:br w:type="page"/>
      </w:r>
    </w:p>
    <w:p w:rsidR="00965D26" w:rsidRPr="00965D26" w:rsidRDefault="00965D26" w:rsidP="009D3CA5">
      <w:pPr>
        <w:jc w:val="center"/>
        <w:rPr>
          <w:b/>
          <w:sz w:val="24"/>
          <w:szCs w:val="24"/>
        </w:rPr>
      </w:pPr>
      <w:r>
        <w:rPr>
          <w:b/>
          <w:sz w:val="24"/>
          <w:szCs w:val="24"/>
        </w:rPr>
        <w:lastRenderedPageBreak/>
        <w:t>Quellen</w:t>
      </w:r>
    </w:p>
    <w:p w:rsidR="007667F0" w:rsidRPr="007667F0" w:rsidRDefault="00965D26" w:rsidP="009D3CA5">
      <w:pPr>
        <w:spacing w:after="0"/>
        <w:rPr>
          <w:b/>
        </w:rPr>
      </w:pPr>
      <w:r>
        <w:rPr>
          <w:b/>
        </w:rPr>
        <w:t xml:space="preserve">I. </w:t>
      </w:r>
      <w:r w:rsidR="007667F0" w:rsidRPr="007667F0">
        <w:rPr>
          <w:b/>
        </w:rPr>
        <w:t>EGBGB</w:t>
      </w:r>
    </w:p>
    <w:p w:rsidR="007667F0" w:rsidRPr="007667F0" w:rsidRDefault="007667F0" w:rsidP="009D3CA5">
      <w:pPr>
        <w:spacing w:after="0"/>
        <w:rPr>
          <w:b/>
          <w:bCs/>
        </w:rPr>
      </w:pPr>
      <w:r w:rsidRPr="007667F0">
        <w:rPr>
          <w:b/>
          <w:bCs/>
        </w:rPr>
        <w:t>Artikel 6 Öffentliche Ordnung (ordre public)</w:t>
      </w:r>
    </w:p>
    <w:p w:rsidR="007667F0" w:rsidRPr="007667F0" w:rsidRDefault="007667F0" w:rsidP="009D3CA5">
      <w:pPr>
        <w:spacing w:after="0"/>
        <w:rPr>
          <w:bCs/>
        </w:rPr>
      </w:pPr>
      <w:r w:rsidRPr="007667F0">
        <w:rPr>
          <w:bCs/>
          <w:vertAlign w:val="superscript"/>
        </w:rPr>
        <w:t>1</w:t>
      </w:r>
      <w:r w:rsidRPr="007667F0">
        <w:rPr>
          <w:bCs/>
        </w:rPr>
        <w:t xml:space="preserve">Eine Rechtsnorm eines anderen Staates ist nicht anzuwenden, wenn ihre Anwendung zu einem Ergebnis führt, das mit wesentlichen Grundsätzen des deutschen Rechts offensichtlich unvereinbar ist. </w:t>
      </w:r>
      <w:r w:rsidRPr="007667F0">
        <w:rPr>
          <w:bCs/>
          <w:vertAlign w:val="superscript"/>
        </w:rPr>
        <w:t>2</w:t>
      </w:r>
      <w:r w:rsidRPr="007667F0">
        <w:rPr>
          <w:bCs/>
        </w:rPr>
        <w:t xml:space="preserve">Sie ist insbesondere nicht anzuwenden, wenn die Anwendung mit den Grundrechten unvereinbar ist. </w:t>
      </w:r>
    </w:p>
    <w:p w:rsidR="007667F0" w:rsidRDefault="007667F0" w:rsidP="009D3CA5">
      <w:pPr>
        <w:spacing w:after="0"/>
        <w:rPr>
          <w:b/>
          <w:bCs/>
        </w:rPr>
      </w:pPr>
    </w:p>
    <w:p w:rsidR="007667F0" w:rsidRPr="007667F0" w:rsidRDefault="007667F0" w:rsidP="009D3CA5">
      <w:pPr>
        <w:spacing w:after="0"/>
        <w:rPr>
          <w:b/>
          <w:bCs/>
        </w:rPr>
      </w:pPr>
      <w:r w:rsidRPr="007667F0">
        <w:rPr>
          <w:b/>
          <w:bCs/>
        </w:rPr>
        <w:t>Artikel 11 Form von Rechtsgeschäften</w:t>
      </w:r>
    </w:p>
    <w:p w:rsidR="007667F0" w:rsidRPr="007667F0" w:rsidRDefault="007667F0" w:rsidP="009D3CA5">
      <w:pPr>
        <w:spacing w:after="0"/>
      </w:pPr>
      <w:bookmarkStart w:id="1" w:name="Y-100-G-EGBGB-A-11-X-1"/>
      <w:bookmarkEnd w:id="1"/>
      <w:r w:rsidRPr="007667F0">
        <w:t xml:space="preserve">(1) Ein Rechtsgeschäft ist formgültig, wenn es die Formerfordernisse des Rechts, das auf das seinen Gegenstand bildende Rechtsverhältnis anzuwenden ist, oder des Rechts des Staates erfüllt, in dem es vorgenommen wird. </w:t>
      </w:r>
    </w:p>
    <w:p w:rsidR="007667F0" w:rsidRPr="007667F0" w:rsidRDefault="007667F0" w:rsidP="009D3CA5">
      <w:pPr>
        <w:spacing w:after="0"/>
      </w:pPr>
      <w:bookmarkStart w:id="2" w:name="Y-100-G-EGBGB-A-11-X-2"/>
      <w:bookmarkEnd w:id="2"/>
      <w:r w:rsidRPr="007667F0">
        <w:t xml:space="preserve">(2) Wird ein Vertrag zwischen Personen geschlossen, die sich in verschiedenen Staaten befinden, so ist er formgültig, wenn er die Formerfordernisse des Rechts, das auf das seinen Gegenstand bildende Rechtsverhältnis anzuwenden ist, oder des Rechts eines dieser Staaten erfüllt. </w:t>
      </w:r>
    </w:p>
    <w:p w:rsidR="007667F0" w:rsidRPr="007667F0" w:rsidRDefault="007667F0" w:rsidP="009D3CA5">
      <w:pPr>
        <w:spacing w:after="0"/>
      </w:pPr>
      <w:bookmarkStart w:id="3" w:name="Y-100-G-EGBGB-A-11-X-3"/>
      <w:bookmarkEnd w:id="3"/>
      <w:r w:rsidRPr="007667F0">
        <w:t xml:space="preserve">(3) Wird der Vertrag durch einen Vertreter geschlossen, so ist bei Anwendung der Absätze 1 und 2 der Staat maßgebend, in dem sich der Vertreter befindet. </w:t>
      </w:r>
    </w:p>
    <w:p w:rsidR="007667F0" w:rsidRPr="007667F0" w:rsidRDefault="007667F0" w:rsidP="009D3CA5">
      <w:pPr>
        <w:spacing w:after="0"/>
      </w:pPr>
      <w:bookmarkStart w:id="4" w:name="Y-100-G-EGBGB-A-11-X-4"/>
      <w:bookmarkEnd w:id="4"/>
      <w:r w:rsidRPr="007667F0">
        <w:t xml:space="preserve">(4) Ein Rechtsgeschäft, durch das ein Recht an einer Sache begründet oder über ein solches Recht verfügt wird, ist nur formgültig, wenn es die Formerfordernisse des Rechts erfüllt, das auf das seinen Gegenstand bildende Rechtsverhältnis anzuwenden ist. </w:t>
      </w:r>
    </w:p>
    <w:p w:rsidR="007667F0" w:rsidRDefault="007667F0" w:rsidP="009D3CA5">
      <w:pPr>
        <w:spacing w:after="0"/>
      </w:pPr>
    </w:p>
    <w:p w:rsidR="007667F0" w:rsidRPr="007667F0" w:rsidRDefault="007667F0" w:rsidP="009D3CA5">
      <w:pPr>
        <w:spacing w:after="0"/>
        <w:rPr>
          <w:b/>
        </w:rPr>
      </w:pPr>
      <w:r w:rsidRPr="007667F0">
        <w:rPr>
          <w:b/>
        </w:rPr>
        <w:t>Art</w:t>
      </w:r>
      <w:r w:rsidR="00965D26">
        <w:rPr>
          <w:b/>
        </w:rPr>
        <w:t>ikel</w:t>
      </w:r>
      <w:r w:rsidRPr="007667F0">
        <w:rPr>
          <w:b/>
        </w:rPr>
        <w:t xml:space="preserve"> 13 Eheschließeung</w:t>
      </w:r>
    </w:p>
    <w:p w:rsidR="007667F0" w:rsidRPr="007667F0" w:rsidRDefault="007667F0" w:rsidP="009D3CA5">
      <w:pPr>
        <w:spacing w:after="0"/>
      </w:pPr>
      <w:bookmarkStart w:id="5" w:name="X1"/>
      <w:bookmarkStart w:id="6" w:name="Y-100-G-EGBGB-A-13-X-1"/>
      <w:bookmarkEnd w:id="5"/>
      <w:bookmarkEnd w:id="6"/>
      <w:r w:rsidRPr="007667F0">
        <w:t xml:space="preserve">(1) Die Voraussetzungen der Eheschließung unterliegen für jeden Verlobten dem Recht des Staates, dem er angehört. </w:t>
      </w:r>
    </w:p>
    <w:p w:rsidR="007667F0" w:rsidRPr="007667F0" w:rsidRDefault="007667F0" w:rsidP="009D3CA5">
      <w:pPr>
        <w:spacing w:after="0"/>
      </w:pPr>
      <w:bookmarkStart w:id="7" w:name="X2"/>
      <w:bookmarkStart w:id="8" w:name="Y-100-G-EGBGB-A-13-X-2"/>
      <w:bookmarkEnd w:id="7"/>
      <w:bookmarkEnd w:id="8"/>
      <w:r w:rsidRPr="007667F0">
        <w:t xml:space="preserve">(2) </w:t>
      </w:r>
      <w:r w:rsidR="00B57CF2">
        <w:t>(3) …</w:t>
      </w:r>
    </w:p>
    <w:p w:rsidR="007667F0" w:rsidRDefault="007667F0" w:rsidP="009D3CA5">
      <w:pPr>
        <w:spacing w:after="0"/>
      </w:pPr>
      <w:bookmarkStart w:id="9" w:name="X4"/>
      <w:bookmarkStart w:id="10" w:name="Y-100-G-EGBGB-A-13-X-4"/>
      <w:bookmarkEnd w:id="9"/>
      <w:bookmarkEnd w:id="10"/>
      <w:r w:rsidRPr="007667F0">
        <w:t xml:space="preserve">(4) </w:t>
      </w:r>
      <w:r w:rsidRPr="007667F0">
        <w:rPr>
          <w:vertAlign w:val="superscript"/>
        </w:rPr>
        <w:t>1</w:t>
      </w:r>
      <w:r w:rsidRPr="007667F0">
        <w:t xml:space="preserve">Eine Ehe kann im Inland nur in der hier vorgeschriebenen Form geschlossen werden. </w:t>
      </w:r>
      <w:r w:rsidRPr="007667F0">
        <w:rPr>
          <w:vertAlign w:val="superscript"/>
        </w:rPr>
        <w:t>2</w:t>
      </w:r>
      <w:r w:rsidRPr="007667F0">
        <w:t xml:space="preserve">Eine Ehe zwischen Verlobten, von denen keiner Deutscher ist, kann jedoch vor einer von der Regierung des Staates, dem einer der Verlobten angehört, ordnungsgemäß ermächtigten Person in der nach dem Recht dieses Staates vorgeschriebenen Form geschlossen werden; eine beglaubigte Abschrift der Eintragung der so geschlossenen Ehe in das Standesregister, das von der dazu ordnungsgemäß ermächtigten Person geführt wird, erbringt vollen Beweis der Eheschließung. </w:t>
      </w:r>
    </w:p>
    <w:p w:rsidR="007667F0" w:rsidRDefault="007667F0" w:rsidP="009D3CA5">
      <w:pPr>
        <w:spacing w:after="0"/>
      </w:pPr>
    </w:p>
    <w:p w:rsidR="007667F0" w:rsidRPr="007667F0" w:rsidRDefault="007667F0" w:rsidP="007667F0">
      <w:pPr>
        <w:spacing w:after="0"/>
      </w:pPr>
      <w:r>
        <w:t>++++++++++++++++++++++++++++++++++++++++++++++++++++++++++++++++++++++++++++</w:t>
      </w:r>
    </w:p>
    <w:p w:rsidR="007667F0" w:rsidRPr="007667F0" w:rsidRDefault="00965D26" w:rsidP="007667F0">
      <w:pPr>
        <w:rPr>
          <w:b/>
          <w:bCs/>
        </w:rPr>
      </w:pPr>
      <w:r>
        <w:rPr>
          <w:b/>
          <w:bCs/>
        </w:rPr>
        <w:t xml:space="preserve">II. </w:t>
      </w:r>
      <w:r w:rsidR="007667F0">
        <w:rPr>
          <w:b/>
          <w:bCs/>
        </w:rPr>
        <w:t>Rom I-Verordnung (VO 593/2008)</w:t>
      </w:r>
    </w:p>
    <w:p w:rsidR="007667F0" w:rsidRPr="007667F0" w:rsidRDefault="007667F0" w:rsidP="007667F0">
      <w:pPr>
        <w:rPr>
          <w:b/>
        </w:rPr>
      </w:pPr>
      <w:bookmarkStart w:id="11" w:name="Y-100-G-EWG_VO_593_2008-A-3-X-1"/>
      <w:bookmarkEnd w:id="11"/>
      <w:r w:rsidRPr="007667F0">
        <w:rPr>
          <w:b/>
        </w:rPr>
        <w:t>Art</w:t>
      </w:r>
      <w:r w:rsidR="00965D26">
        <w:rPr>
          <w:b/>
        </w:rPr>
        <w:t>ikel</w:t>
      </w:r>
      <w:r w:rsidRPr="007667F0">
        <w:rPr>
          <w:b/>
        </w:rPr>
        <w:t xml:space="preserve"> 3 Freie Rechtswahl</w:t>
      </w:r>
    </w:p>
    <w:p w:rsidR="007667F0" w:rsidRDefault="007667F0" w:rsidP="007667F0">
      <w:r w:rsidRPr="007667F0">
        <w:t xml:space="preserve">(1) </w:t>
      </w:r>
      <w:r w:rsidRPr="007667F0">
        <w:rPr>
          <w:vertAlign w:val="superscript"/>
        </w:rPr>
        <w:t>1</w:t>
      </w:r>
      <w:r w:rsidRPr="007667F0">
        <w:t xml:space="preserve">Der Vertrag unterliegt dem von den Parteien gewählten Recht. </w:t>
      </w:r>
      <w:r w:rsidRPr="007667F0">
        <w:rPr>
          <w:vertAlign w:val="superscript"/>
        </w:rPr>
        <w:t>2</w:t>
      </w:r>
      <w:r w:rsidRPr="007667F0">
        <w:t xml:space="preserve">Die Rechtswahl muss ausdrücklich erfolgen oder sich eindeutig aus den Bestimmungen des Vertrags oder aus den Umständen des Falles ergeben. </w:t>
      </w:r>
      <w:r w:rsidRPr="007667F0">
        <w:rPr>
          <w:vertAlign w:val="superscript"/>
        </w:rPr>
        <w:t>3</w:t>
      </w:r>
      <w:r w:rsidRPr="007667F0">
        <w:t xml:space="preserve">Die Parteien können die Rechtswahl für ihren ganzen Vertrag oder nur für einen Teil desselben treffen. </w:t>
      </w:r>
    </w:p>
    <w:p w:rsidR="007667F0" w:rsidRPr="007667F0" w:rsidRDefault="007667F0" w:rsidP="007667F0">
      <w:r>
        <w:t>(2)-(4)…..</w:t>
      </w:r>
    </w:p>
    <w:p w:rsidR="007667F0" w:rsidRPr="007667F0" w:rsidRDefault="007667F0" w:rsidP="007667F0">
      <w:pPr>
        <w:rPr>
          <w:b/>
          <w:bCs/>
        </w:rPr>
      </w:pPr>
      <w:bookmarkStart w:id="12" w:name="Y-100-G-EWG_VO_593_2008-A-3-X-2"/>
      <w:bookmarkEnd w:id="12"/>
      <w:r w:rsidRPr="007667F0">
        <w:rPr>
          <w:b/>
          <w:bCs/>
        </w:rPr>
        <w:t>Artikel 4 Mangels Rechtswahl anzuwendendes Recht</w:t>
      </w:r>
    </w:p>
    <w:p w:rsidR="007667F0" w:rsidRPr="007667F0" w:rsidRDefault="007667F0" w:rsidP="009D3CA5">
      <w:pPr>
        <w:spacing w:after="0"/>
      </w:pPr>
      <w:bookmarkStart w:id="13" w:name="Y-100-G-EWG_VO_593_2008-A-4-X-1"/>
      <w:bookmarkEnd w:id="13"/>
      <w:r w:rsidRPr="007667F0">
        <w:t xml:space="preserve">(1) Soweit die Parteien keine Rechtswahl gemäß Artikel </w:t>
      </w:r>
      <w:r w:rsidR="00B57CF2">
        <w:t xml:space="preserve">3 </w:t>
      </w:r>
      <w:r w:rsidRPr="007667F0">
        <w:t xml:space="preserve">getroffen haben, bestimmt sich das auf den Vertrag anzuwendende Recht unbeschadet der Artikel </w:t>
      </w:r>
      <w:hyperlink r:id="rId7" w:history="1"/>
      <w:r w:rsidR="00B57CF2">
        <w:t xml:space="preserve"> 5 </w:t>
      </w:r>
      <w:r w:rsidRPr="007667F0">
        <w:t xml:space="preserve">bis </w:t>
      </w:r>
      <w:r w:rsidR="00B57CF2">
        <w:t xml:space="preserve">8 </w:t>
      </w:r>
      <w:r w:rsidRPr="007667F0">
        <w:t xml:space="preserve">wie folgt: </w:t>
      </w:r>
    </w:p>
    <w:p w:rsidR="007667F0" w:rsidRPr="007667F0" w:rsidRDefault="007667F0" w:rsidP="009D3CA5">
      <w:pPr>
        <w:spacing w:after="0"/>
        <w:ind w:left="720"/>
      </w:pPr>
      <w:r w:rsidRPr="007667F0">
        <w:rPr>
          <w:i/>
          <w:iCs/>
        </w:rPr>
        <w:t>a)</w:t>
      </w:r>
      <w:r w:rsidRPr="007667F0">
        <w:t>Kaufverträge über bewegliche Sachen unterliegen dem Recht des Staates, in dem der Verkäufer seinen gewöhnlichen Aufenthalt hat.</w:t>
      </w:r>
    </w:p>
    <w:p w:rsidR="007667F0" w:rsidRDefault="007667F0" w:rsidP="009D3CA5">
      <w:pPr>
        <w:spacing w:after="0"/>
        <w:ind w:left="720"/>
      </w:pPr>
      <w:r w:rsidRPr="007667F0">
        <w:rPr>
          <w:i/>
          <w:iCs/>
        </w:rPr>
        <w:lastRenderedPageBreak/>
        <w:t>b)</w:t>
      </w:r>
      <w:r w:rsidRPr="007667F0">
        <w:t>Dienstleistungsverträge unterliegen dem Recht des Staates, in dem der Dienstleister seinen gewöhnlichen Aufenthalt hat.</w:t>
      </w:r>
    </w:p>
    <w:p w:rsidR="007667F0" w:rsidRDefault="007667F0" w:rsidP="009D3CA5">
      <w:pPr>
        <w:spacing w:after="0"/>
      </w:pPr>
      <w:bookmarkStart w:id="14" w:name="Y-100-G-EWG_VO_593_2008-A-4-X-2"/>
      <w:bookmarkEnd w:id="14"/>
      <w:r w:rsidRPr="007667F0">
        <w:t xml:space="preserve">(2) Fällt der Vertrag nicht unter Absatz 1 oder sind die Bestandteile des Vertrags durch mehr als einen der Buchstaben a bis h des Absatzes 1 abgedeckt, so unterliegt der Vertrag dem Recht des Staates, in dem die Partei, welche die für den Vertrag charakteristische Leistung zu erbringen hat, ihren gewöhnlichen Aufenthalt hat. </w:t>
      </w:r>
    </w:p>
    <w:p w:rsidR="009D3CA5" w:rsidRDefault="009D3CA5" w:rsidP="009D3CA5">
      <w:pPr>
        <w:spacing w:after="0"/>
      </w:pPr>
      <w:r>
        <w:t>……</w:t>
      </w:r>
    </w:p>
    <w:p w:rsidR="009D3CA5" w:rsidRPr="009D3CA5" w:rsidRDefault="009D3CA5" w:rsidP="009D3CA5">
      <w:pPr>
        <w:rPr>
          <w:b/>
          <w:bCs/>
        </w:rPr>
      </w:pPr>
      <w:bookmarkStart w:id="15" w:name="Y-100-G-EWG_VO_593_2008-A-4-X-3"/>
      <w:bookmarkEnd w:id="15"/>
      <w:r w:rsidRPr="009D3CA5">
        <w:rPr>
          <w:b/>
          <w:bCs/>
        </w:rPr>
        <w:t>Artikel 19 Gewöhnlicher Aufenthalt</w:t>
      </w:r>
    </w:p>
    <w:p w:rsidR="009D3CA5" w:rsidRPr="009D3CA5" w:rsidRDefault="009D3CA5" w:rsidP="009D3CA5">
      <w:pPr>
        <w:spacing w:after="0"/>
        <w:rPr>
          <w:bCs/>
        </w:rPr>
      </w:pPr>
      <w:bookmarkStart w:id="16" w:name="Y-100-G-EWG_VO_593_2008-A-19-X-1"/>
      <w:bookmarkEnd w:id="16"/>
      <w:r w:rsidRPr="009D3CA5">
        <w:rPr>
          <w:bCs/>
        </w:rPr>
        <w:t xml:space="preserve">(1) Für die Zwecke dieser Verordnung ist der Ort des gewöhnlichen Aufenthalts von Gesellschaften, Vereinen und juristischen Personen der Ort ihrer Hauptverwaltung. </w:t>
      </w:r>
    </w:p>
    <w:p w:rsidR="009D3CA5" w:rsidRPr="009D3CA5" w:rsidRDefault="009D3CA5" w:rsidP="009D3CA5">
      <w:pPr>
        <w:spacing w:after="0"/>
        <w:rPr>
          <w:bCs/>
        </w:rPr>
      </w:pPr>
      <w:r w:rsidRPr="009D3CA5">
        <w:rPr>
          <w:bCs/>
        </w:rPr>
        <w:t xml:space="preserve">Der gewöhnliche Aufenthalt einer natürlichen Person, die im Rahmen der Ausübung ihrer beruflichen Tätigkeit handelt, ist der Ort ihrer Hauptniederlassung. </w:t>
      </w:r>
    </w:p>
    <w:p w:rsidR="009D3CA5" w:rsidRPr="009D3CA5" w:rsidRDefault="009D3CA5" w:rsidP="009D3CA5">
      <w:pPr>
        <w:spacing w:after="0"/>
        <w:rPr>
          <w:bCs/>
        </w:rPr>
      </w:pPr>
      <w:bookmarkStart w:id="17" w:name="Y-100-G-EWG_VO_593_2008-A-19-X-2"/>
      <w:bookmarkEnd w:id="17"/>
      <w:r w:rsidRPr="009D3CA5">
        <w:rPr>
          <w:bCs/>
        </w:rPr>
        <w:t xml:space="preserve">(2) Wird der Vertrag im Rahmen des Betriebs einer Zweigniederlassung, Agentur oder sonstigen Niederlassung geschlossen oder ist für die Erfüllung gemäß dem Vertrag eine solche Zweigniederlassung, Agentur oder sonstige Niederlassung verantwortlich, so steht der Ort des gewöhnlichen Aufenthalts dem Ort gleich, an dem sich die Zweigniederlassung, Agentur oder sonstige Niederlassung befindet. </w:t>
      </w:r>
    </w:p>
    <w:p w:rsidR="009D3CA5" w:rsidRPr="009D3CA5" w:rsidRDefault="009D3CA5" w:rsidP="009D3CA5">
      <w:pPr>
        <w:spacing w:after="0"/>
        <w:rPr>
          <w:bCs/>
        </w:rPr>
      </w:pPr>
      <w:bookmarkStart w:id="18" w:name="X3"/>
      <w:bookmarkStart w:id="19" w:name="Y-100-G-EWG_VO_593_2008-A-19-X-3"/>
      <w:bookmarkEnd w:id="18"/>
      <w:bookmarkEnd w:id="19"/>
      <w:r w:rsidRPr="009D3CA5">
        <w:rPr>
          <w:bCs/>
        </w:rPr>
        <w:t xml:space="preserve">(3) Für die Bestimmung des gewöhnlichen Aufenthalts ist der Zeitpunkt des Vertragsschlusses maßgebend. </w:t>
      </w:r>
    </w:p>
    <w:p w:rsidR="009D3CA5" w:rsidRDefault="009D3CA5" w:rsidP="009D3CA5">
      <w:pPr>
        <w:spacing w:after="0"/>
        <w:rPr>
          <w:b/>
          <w:bCs/>
        </w:rPr>
      </w:pPr>
    </w:p>
    <w:p w:rsidR="007667F0" w:rsidRPr="007667F0" w:rsidRDefault="007667F0" w:rsidP="007667F0">
      <w:pPr>
        <w:rPr>
          <w:b/>
          <w:bCs/>
        </w:rPr>
      </w:pPr>
      <w:r w:rsidRPr="007667F0">
        <w:rPr>
          <w:b/>
          <w:bCs/>
        </w:rPr>
        <w:t>Artikel 21 Öffentliche Ordnung im Staat des angerufenen Gerichts</w:t>
      </w:r>
    </w:p>
    <w:p w:rsidR="007667F0" w:rsidRPr="007667F0" w:rsidRDefault="007667F0" w:rsidP="007667F0">
      <w:r w:rsidRPr="007667F0">
        <w:t xml:space="preserve">Die Anwendung einer Vorschrift des nach dieser Verordnung bezeichneten Rechts kann nur versagt werden, wenn ihre Anwendung mit der öffentlichen Ordnung („ordre public”) des Staates des angerufenen Gerichts offensichtlich unvereinbar ist. </w:t>
      </w:r>
    </w:p>
    <w:p w:rsidR="007667F0" w:rsidRDefault="00965D26">
      <w:r>
        <w:t>++++++++++++++++++++++++++++++++++++++++++++++++++++++++++++++++++++++++++++++++++</w:t>
      </w:r>
    </w:p>
    <w:p w:rsidR="007667F0" w:rsidRPr="00965D26" w:rsidRDefault="00965D26">
      <w:pPr>
        <w:rPr>
          <w:b/>
        </w:rPr>
      </w:pPr>
      <w:r>
        <w:rPr>
          <w:b/>
        </w:rPr>
        <w:t xml:space="preserve">III. </w:t>
      </w:r>
      <w:r w:rsidRPr="00965D26">
        <w:rPr>
          <w:b/>
        </w:rPr>
        <w:t>Europäische Gerichtsstands- und VollstreckungsVO=Brüssel Ia VO (VO 1215/2012)</w:t>
      </w:r>
    </w:p>
    <w:p w:rsidR="00965D26" w:rsidRPr="00965D26" w:rsidRDefault="00965D26" w:rsidP="00965D26">
      <w:pPr>
        <w:rPr>
          <w:b/>
          <w:bCs/>
        </w:rPr>
      </w:pPr>
      <w:r w:rsidRPr="00965D26">
        <w:rPr>
          <w:b/>
          <w:bCs/>
        </w:rPr>
        <w:t>Art. 4 [Allgemeiner internationaler Gerichtsstand]</w:t>
      </w:r>
    </w:p>
    <w:p w:rsidR="00965D26" w:rsidRPr="00965D26" w:rsidRDefault="00965D26" w:rsidP="00965D26">
      <w:bookmarkStart w:id="20" w:name="Y-100-G-EWG_VO_1215_2012-A-4-X-1"/>
      <w:bookmarkEnd w:id="20"/>
      <w:r w:rsidRPr="00965D26">
        <w:t xml:space="preserve">(1) Vorbehaltlich der Vorschriften dieser Verordnung sind Personen, die ihren Wohnsitz im Hoheitsgebiet eines Mitgliedstaats haben, ohne Rücksicht auf ihre Staatsangehörigkeit vor den Gerichten dieses Mitgliedstaats zu verklagen. </w:t>
      </w:r>
    </w:p>
    <w:p w:rsidR="00965D26" w:rsidRPr="00965D26" w:rsidRDefault="00965D26" w:rsidP="00965D26">
      <w:pPr>
        <w:rPr>
          <w:b/>
          <w:bCs/>
        </w:rPr>
      </w:pPr>
      <w:r w:rsidRPr="00965D26">
        <w:rPr>
          <w:b/>
          <w:bCs/>
        </w:rPr>
        <w:t xml:space="preserve">Art. 25 [Zulässigkeit und Form von Gerichtsstandsvereinbarungen] </w:t>
      </w:r>
    </w:p>
    <w:p w:rsidR="00965D26" w:rsidRPr="00965D26" w:rsidRDefault="00965D26" w:rsidP="009D3CA5">
      <w:pPr>
        <w:spacing w:after="0"/>
      </w:pPr>
      <w:bookmarkStart w:id="21" w:name="Y-100-G-EWG_VO_1215_2012-A-25-X-1"/>
      <w:bookmarkEnd w:id="21"/>
      <w:r w:rsidRPr="00965D26">
        <w:t xml:space="preserve">(1) </w:t>
      </w:r>
      <w:r w:rsidRPr="00965D26">
        <w:rPr>
          <w:vertAlign w:val="superscript"/>
        </w:rPr>
        <w:t>1</w:t>
      </w:r>
      <w:r w:rsidRPr="00965D26">
        <w:t xml:space="preserve">Haben die Parteien unabhängig von ihrem Wohnsitz vereinbart, dass ein Gericht oder die Gerichte eines Mitgliedstaats über eine bereits entstandene Rechtsstreitigkeit oder über eine künftige aus einem bestimmten Rechtsverhältnis entspringende Rechtsstreitigkeit entscheiden sollen, so sind dieses Gericht oder die Gerichte dieses Mitgliedstaats zuständig, es sei denn, die Vereinbarung ist nach dem Recht dieses Mitgliedstaats materiell ungültig. </w:t>
      </w:r>
      <w:r w:rsidRPr="00965D26">
        <w:rPr>
          <w:vertAlign w:val="superscript"/>
        </w:rPr>
        <w:t>2</w:t>
      </w:r>
      <w:r w:rsidRPr="00965D26">
        <w:t xml:space="preserve">Dieses Gericht oder die Gerichte dieses Mitgliedstaats sind ausschließlich zuständig, sofern die Parteien nichts anderes vereinbart haben. </w:t>
      </w:r>
      <w:r w:rsidRPr="00965D26">
        <w:rPr>
          <w:vertAlign w:val="superscript"/>
        </w:rPr>
        <w:t>3</w:t>
      </w:r>
      <w:r w:rsidRPr="00965D26">
        <w:t xml:space="preserve">Die Gerichtsstandsvereinbarung muss geschlossen werden: </w:t>
      </w:r>
    </w:p>
    <w:p w:rsidR="00965D26" w:rsidRDefault="00965D26" w:rsidP="009D3CA5">
      <w:pPr>
        <w:spacing w:after="0"/>
      </w:pPr>
      <w:r w:rsidRPr="00965D26">
        <w:rPr>
          <w:i/>
          <w:iCs/>
        </w:rPr>
        <w:t>a)</w:t>
      </w:r>
      <w:r w:rsidRPr="00965D26">
        <w:t>schriftlich oder mündlich mit schriftlicher Bestätigung,</w:t>
      </w:r>
    </w:p>
    <w:p w:rsidR="00965D26" w:rsidRPr="00965D26" w:rsidRDefault="009D3CA5" w:rsidP="00965D26">
      <w:r>
        <w:t>….</w:t>
      </w:r>
      <w:r w:rsidR="00965D26" w:rsidRPr="00965D26">
        <w:t xml:space="preserve"> </w:t>
      </w:r>
    </w:p>
    <w:sectPr w:rsidR="00965D26" w:rsidRPr="00965D26" w:rsidSect="00E6042D">
      <w:footerReference w:type="default" r:id="rId8"/>
      <w:pgSz w:w="11906" w:h="16838"/>
      <w:pgMar w:top="1134"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041" w:rsidRDefault="00CC5041" w:rsidP="009D3CA5">
      <w:pPr>
        <w:spacing w:after="0" w:line="240" w:lineRule="auto"/>
      </w:pPr>
      <w:r>
        <w:separator/>
      </w:r>
    </w:p>
  </w:endnote>
  <w:endnote w:type="continuationSeparator" w:id="0">
    <w:p w:rsidR="00CC5041" w:rsidRDefault="00CC5041" w:rsidP="009D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608689"/>
      <w:docPartObj>
        <w:docPartGallery w:val="Page Numbers (Bottom of Page)"/>
        <w:docPartUnique/>
      </w:docPartObj>
    </w:sdtPr>
    <w:sdtEndPr/>
    <w:sdtContent>
      <w:p w:rsidR="009D3CA5" w:rsidRDefault="009D3CA5">
        <w:pPr>
          <w:pStyle w:val="Fuzeile"/>
          <w:jc w:val="right"/>
        </w:pPr>
        <w:r>
          <w:fldChar w:fldCharType="begin"/>
        </w:r>
        <w:r>
          <w:instrText>PAGE   \* MERGEFORMAT</w:instrText>
        </w:r>
        <w:r>
          <w:fldChar w:fldCharType="separate"/>
        </w:r>
        <w:r w:rsidR="00147462">
          <w:rPr>
            <w:noProof/>
          </w:rPr>
          <w:t>1</w:t>
        </w:r>
        <w:r>
          <w:fldChar w:fldCharType="end"/>
        </w:r>
      </w:p>
    </w:sdtContent>
  </w:sdt>
  <w:p w:rsidR="009D3CA5" w:rsidRDefault="009D3C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041" w:rsidRDefault="00CC5041" w:rsidP="009D3CA5">
      <w:pPr>
        <w:spacing w:after="0" w:line="240" w:lineRule="auto"/>
      </w:pPr>
      <w:r>
        <w:separator/>
      </w:r>
    </w:p>
  </w:footnote>
  <w:footnote w:type="continuationSeparator" w:id="0">
    <w:p w:rsidR="00CC5041" w:rsidRDefault="00CC5041" w:rsidP="009D3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49F"/>
    <w:multiLevelType w:val="multilevel"/>
    <w:tmpl w:val="E1FE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73034"/>
    <w:multiLevelType w:val="multilevel"/>
    <w:tmpl w:val="08BA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F54B8"/>
    <w:multiLevelType w:val="multilevel"/>
    <w:tmpl w:val="A856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27011"/>
    <w:multiLevelType w:val="multilevel"/>
    <w:tmpl w:val="0DCE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411A2"/>
    <w:multiLevelType w:val="multilevel"/>
    <w:tmpl w:val="6FDE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71775"/>
    <w:multiLevelType w:val="multilevel"/>
    <w:tmpl w:val="431E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04"/>
    <w:rsid w:val="00147462"/>
    <w:rsid w:val="004810D4"/>
    <w:rsid w:val="006D3904"/>
    <w:rsid w:val="007667F0"/>
    <w:rsid w:val="0077449D"/>
    <w:rsid w:val="00965D26"/>
    <w:rsid w:val="009D3CA5"/>
    <w:rsid w:val="00A80848"/>
    <w:rsid w:val="00AD4A0F"/>
    <w:rsid w:val="00B57CF2"/>
    <w:rsid w:val="00CC5041"/>
    <w:rsid w:val="00DC1CFD"/>
    <w:rsid w:val="00E6042D"/>
    <w:rsid w:val="00E71E7C"/>
    <w:rsid w:val="00FB13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B47F"/>
  <w15:docId w15:val="{C3E44418-6705-471A-9284-070AD270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7667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667F0"/>
    <w:pPr>
      <w:keepNext/>
      <w:keepLines/>
      <w:spacing w:before="200" w:after="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7667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667F0"/>
    <w:rPr>
      <w:color w:val="0000FF" w:themeColor="hyperlink"/>
      <w:u w:val="single"/>
    </w:rPr>
  </w:style>
  <w:style w:type="character" w:customStyle="1" w:styleId="berschrift2Zchn">
    <w:name w:val="Überschrift 2 Zchn"/>
    <w:basedOn w:val="Absatz-Standardschriftart"/>
    <w:link w:val="berschrift2"/>
    <w:uiPriority w:val="9"/>
    <w:semiHidden/>
    <w:rsid w:val="007667F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7667F0"/>
    <w:rPr>
      <w:rFonts w:asciiTheme="majorHAnsi" w:eastAsiaTheme="majorEastAsia" w:hAnsiTheme="majorHAnsi" w:cstheme="majorBidi"/>
      <w:b/>
      <w:bCs/>
      <w:color w:val="4F81BD" w:themeColor="accent1"/>
    </w:rPr>
  </w:style>
  <w:style w:type="character" w:customStyle="1" w:styleId="berschrift6Zchn">
    <w:name w:val="Überschrift 6 Zchn"/>
    <w:basedOn w:val="Absatz-Standardschriftart"/>
    <w:link w:val="berschrift6"/>
    <w:uiPriority w:val="9"/>
    <w:semiHidden/>
    <w:rsid w:val="007667F0"/>
    <w:rPr>
      <w:rFonts w:asciiTheme="majorHAnsi" w:eastAsiaTheme="majorEastAsia" w:hAnsiTheme="majorHAnsi" w:cstheme="majorBidi"/>
      <w:i/>
      <w:iCs/>
      <w:color w:val="243F60" w:themeColor="accent1" w:themeShade="7F"/>
    </w:rPr>
  </w:style>
  <w:style w:type="character" w:styleId="Fett">
    <w:name w:val="Strong"/>
    <w:basedOn w:val="Absatz-Standardschriftart"/>
    <w:uiPriority w:val="22"/>
    <w:qFormat/>
    <w:rsid w:val="00965D26"/>
    <w:rPr>
      <w:b/>
      <w:bCs/>
    </w:rPr>
  </w:style>
  <w:style w:type="paragraph" w:styleId="StandardWeb">
    <w:name w:val="Normal (Web)"/>
    <w:basedOn w:val="Standard"/>
    <w:uiPriority w:val="99"/>
    <w:semiHidden/>
    <w:unhideWhenUsed/>
    <w:rsid w:val="00965D2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9D3C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3CA5"/>
  </w:style>
  <w:style w:type="paragraph" w:styleId="Fuzeile">
    <w:name w:val="footer"/>
    <w:basedOn w:val="Standard"/>
    <w:link w:val="FuzeileZchn"/>
    <w:uiPriority w:val="99"/>
    <w:unhideWhenUsed/>
    <w:rsid w:val="009D3C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3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5730">
      <w:bodyDiv w:val="1"/>
      <w:marLeft w:val="0"/>
      <w:marRight w:val="0"/>
      <w:marTop w:val="0"/>
      <w:marBottom w:val="0"/>
      <w:divBdr>
        <w:top w:val="none" w:sz="0" w:space="0" w:color="auto"/>
        <w:left w:val="none" w:sz="0" w:space="0" w:color="auto"/>
        <w:bottom w:val="none" w:sz="0" w:space="0" w:color="auto"/>
        <w:right w:val="none" w:sz="0" w:space="0" w:color="auto"/>
      </w:divBdr>
      <w:divsChild>
        <w:div w:id="488790659">
          <w:marLeft w:val="0"/>
          <w:marRight w:val="0"/>
          <w:marTop w:val="0"/>
          <w:marBottom w:val="0"/>
          <w:divBdr>
            <w:top w:val="none" w:sz="0" w:space="0" w:color="auto"/>
            <w:left w:val="none" w:sz="0" w:space="0" w:color="auto"/>
            <w:bottom w:val="none" w:sz="0" w:space="0" w:color="auto"/>
            <w:right w:val="none" w:sz="0" w:space="0" w:color="auto"/>
          </w:divBdr>
        </w:div>
        <w:div w:id="2053454439">
          <w:marLeft w:val="0"/>
          <w:marRight w:val="0"/>
          <w:marTop w:val="0"/>
          <w:marBottom w:val="0"/>
          <w:divBdr>
            <w:top w:val="none" w:sz="0" w:space="0" w:color="auto"/>
            <w:left w:val="none" w:sz="0" w:space="0" w:color="auto"/>
            <w:bottom w:val="none" w:sz="0" w:space="0" w:color="auto"/>
            <w:right w:val="none" w:sz="0" w:space="0" w:color="auto"/>
          </w:divBdr>
        </w:div>
        <w:div w:id="347996897">
          <w:marLeft w:val="0"/>
          <w:marRight w:val="0"/>
          <w:marTop w:val="0"/>
          <w:marBottom w:val="0"/>
          <w:divBdr>
            <w:top w:val="none" w:sz="0" w:space="0" w:color="auto"/>
            <w:left w:val="none" w:sz="0" w:space="0" w:color="auto"/>
            <w:bottom w:val="none" w:sz="0" w:space="0" w:color="auto"/>
            <w:right w:val="none" w:sz="0" w:space="0" w:color="auto"/>
          </w:divBdr>
        </w:div>
        <w:div w:id="186136293">
          <w:marLeft w:val="0"/>
          <w:marRight w:val="0"/>
          <w:marTop w:val="0"/>
          <w:marBottom w:val="0"/>
          <w:divBdr>
            <w:top w:val="none" w:sz="0" w:space="0" w:color="auto"/>
            <w:left w:val="none" w:sz="0" w:space="0" w:color="auto"/>
            <w:bottom w:val="none" w:sz="0" w:space="0" w:color="auto"/>
            <w:right w:val="none" w:sz="0" w:space="0" w:color="auto"/>
          </w:divBdr>
        </w:div>
        <w:div w:id="331837822">
          <w:marLeft w:val="0"/>
          <w:marRight w:val="0"/>
          <w:marTop w:val="0"/>
          <w:marBottom w:val="0"/>
          <w:divBdr>
            <w:top w:val="none" w:sz="0" w:space="0" w:color="auto"/>
            <w:left w:val="none" w:sz="0" w:space="0" w:color="auto"/>
            <w:bottom w:val="none" w:sz="0" w:space="0" w:color="auto"/>
            <w:right w:val="none" w:sz="0" w:space="0" w:color="auto"/>
          </w:divBdr>
          <w:divsChild>
            <w:div w:id="2003464961">
              <w:marLeft w:val="0"/>
              <w:marRight w:val="0"/>
              <w:marTop w:val="0"/>
              <w:marBottom w:val="0"/>
              <w:divBdr>
                <w:top w:val="none" w:sz="0" w:space="0" w:color="auto"/>
                <w:left w:val="none" w:sz="0" w:space="0" w:color="auto"/>
                <w:bottom w:val="none" w:sz="0" w:space="0" w:color="auto"/>
                <w:right w:val="none" w:sz="0" w:space="0" w:color="auto"/>
              </w:divBdr>
            </w:div>
          </w:divsChild>
        </w:div>
        <w:div w:id="732001782">
          <w:marLeft w:val="0"/>
          <w:marRight w:val="0"/>
          <w:marTop w:val="0"/>
          <w:marBottom w:val="0"/>
          <w:divBdr>
            <w:top w:val="none" w:sz="0" w:space="0" w:color="auto"/>
            <w:left w:val="none" w:sz="0" w:space="0" w:color="auto"/>
            <w:bottom w:val="none" w:sz="0" w:space="0" w:color="auto"/>
            <w:right w:val="none" w:sz="0" w:space="0" w:color="auto"/>
          </w:divBdr>
        </w:div>
      </w:divsChild>
    </w:div>
    <w:div w:id="99565822">
      <w:bodyDiv w:val="1"/>
      <w:marLeft w:val="0"/>
      <w:marRight w:val="0"/>
      <w:marTop w:val="0"/>
      <w:marBottom w:val="0"/>
      <w:divBdr>
        <w:top w:val="none" w:sz="0" w:space="0" w:color="auto"/>
        <w:left w:val="none" w:sz="0" w:space="0" w:color="auto"/>
        <w:bottom w:val="none" w:sz="0" w:space="0" w:color="auto"/>
        <w:right w:val="none" w:sz="0" w:space="0" w:color="auto"/>
      </w:divBdr>
      <w:divsChild>
        <w:div w:id="568424016">
          <w:marLeft w:val="0"/>
          <w:marRight w:val="0"/>
          <w:marTop w:val="0"/>
          <w:marBottom w:val="0"/>
          <w:divBdr>
            <w:top w:val="none" w:sz="0" w:space="0" w:color="auto"/>
            <w:left w:val="none" w:sz="0" w:space="0" w:color="auto"/>
            <w:bottom w:val="none" w:sz="0" w:space="0" w:color="auto"/>
            <w:right w:val="none" w:sz="0" w:space="0" w:color="auto"/>
          </w:divBdr>
        </w:div>
        <w:div w:id="1027366068">
          <w:marLeft w:val="0"/>
          <w:marRight w:val="0"/>
          <w:marTop w:val="0"/>
          <w:marBottom w:val="0"/>
          <w:divBdr>
            <w:top w:val="none" w:sz="0" w:space="0" w:color="auto"/>
            <w:left w:val="none" w:sz="0" w:space="0" w:color="auto"/>
            <w:bottom w:val="none" w:sz="0" w:space="0" w:color="auto"/>
            <w:right w:val="none" w:sz="0" w:space="0" w:color="auto"/>
          </w:divBdr>
        </w:div>
        <w:div w:id="1033656841">
          <w:marLeft w:val="0"/>
          <w:marRight w:val="0"/>
          <w:marTop w:val="0"/>
          <w:marBottom w:val="0"/>
          <w:divBdr>
            <w:top w:val="none" w:sz="0" w:space="0" w:color="auto"/>
            <w:left w:val="none" w:sz="0" w:space="0" w:color="auto"/>
            <w:bottom w:val="none" w:sz="0" w:space="0" w:color="auto"/>
            <w:right w:val="none" w:sz="0" w:space="0" w:color="auto"/>
          </w:divBdr>
        </w:div>
        <w:div w:id="904533110">
          <w:marLeft w:val="0"/>
          <w:marRight w:val="0"/>
          <w:marTop w:val="0"/>
          <w:marBottom w:val="0"/>
          <w:divBdr>
            <w:top w:val="none" w:sz="0" w:space="0" w:color="auto"/>
            <w:left w:val="none" w:sz="0" w:space="0" w:color="auto"/>
            <w:bottom w:val="none" w:sz="0" w:space="0" w:color="auto"/>
            <w:right w:val="none" w:sz="0" w:space="0" w:color="auto"/>
          </w:divBdr>
        </w:div>
      </w:divsChild>
    </w:div>
    <w:div w:id="112018161">
      <w:bodyDiv w:val="1"/>
      <w:marLeft w:val="0"/>
      <w:marRight w:val="0"/>
      <w:marTop w:val="0"/>
      <w:marBottom w:val="0"/>
      <w:divBdr>
        <w:top w:val="none" w:sz="0" w:space="0" w:color="auto"/>
        <w:left w:val="none" w:sz="0" w:space="0" w:color="auto"/>
        <w:bottom w:val="none" w:sz="0" w:space="0" w:color="auto"/>
        <w:right w:val="none" w:sz="0" w:space="0" w:color="auto"/>
      </w:divBdr>
      <w:divsChild>
        <w:div w:id="1023091114">
          <w:marLeft w:val="0"/>
          <w:marRight w:val="0"/>
          <w:marTop w:val="0"/>
          <w:marBottom w:val="0"/>
          <w:divBdr>
            <w:top w:val="none" w:sz="0" w:space="0" w:color="auto"/>
            <w:left w:val="none" w:sz="0" w:space="0" w:color="auto"/>
            <w:bottom w:val="none" w:sz="0" w:space="0" w:color="auto"/>
            <w:right w:val="none" w:sz="0" w:space="0" w:color="auto"/>
          </w:divBdr>
        </w:div>
      </w:divsChild>
    </w:div>
    <w:div w:id="202834615">
      <w:bodyDiv w:val="1"/>
      <w:marLeft w:val="0"/>
      <w:marRight w:val="0"/>
      <w:marTop w:val="0"/>
      <w:marBottom w:val="0"/>
      <w:divBdr>
        <w:top w:val="none" w:sz="0" w:space="0" w:color="auto"/>
        <w:left w:val="none" w:sz="0" w:space="0" w:color="auto"/>
        <w:bottom w:val="none" w:sz="0" w:space="0" w:color="auto"/>
        <w:right w:val="none" w:sz="0" w:space="0" w:color="auto"/>
      </w:divBdr>
      <w:divsChild>
        <w:div w:id="1796485053">
          <w:marLeft w:val="0"/>
          <w:marRight w:val="0"/>
          <w:marTop w:val="0"/>
          <w:marBottom w:val="0"/>
          <w:divBdr>
            <w:top w:val="none" w:sz="0" w:space="0" w:color="auto"/>
            <w:left w:val="none" w:sz="0" w:space="0" w:color="auto"/>
            <w:bottom w:val="none" w:sz="0" w:space="0" w:color="auto"/>
            <w:right w:val="none" w:sz="0" w:space="0" w:color="auto"/>
          </w:divBdr>
        </w:div>
      </w:divsChild>
    </w:div>
    <w:div w:id="388653943">
      <w:bodyDiv w:val="1"/>
      <w:marLeft w:val="0"/>
      <w:marRight w:val="0"/>
      <w:marTop w:val="0"/>
      <w:marBottom w:val="0"/>
      <w:divBdr>
        <w:top w:val="none" w:sz="0" w:space="0" w:color="auto"/>
        <w:left w:val="none" w:sz="0" w:space="0" w:color="auto"/>
        <w:bottom w:val="none" w:sz="0" w:space="0" w:color="auto"/>
        <w:right w:val="none" w:sz="0" w:space="0" w:color="auto"/>
      </w:divBdr>
      <w:divsChild>
        <w:div w:id="1125271557">
          <w:marLeft w:val="0"/>
          <w:marRight w:val="0"/>
          <w:marTop w:val="0"/>
          <w:marBottom w:val="0"/>
          <w:divBdr>
            <w:top w:val="none" w:sz="0" w:space="0" w:color="auto"/>
            <w:left w:val="none" w:sz="0" w:space="0" w:color="auto"/>
            <w:bottom w:val="none" w:sz="0" w:space="0" w:color="auto"/>
            <w:right w:val="none" w:sz="0" w:space="0" w:color="auto"/>
          </w:divBdr>
        </w:div>
        <w:div w:id="18513086">
          <w:marLeft w:val="0"/>
          <w:marRight w:val="0"/>
          <w:marTop w:val="0"/>
          <w:marBottom w:val="0"/>
          <w:divBdr>
            <w:top w:val="none" w:sz="0" w:space="0" w:color="auto"/>
            <w:left w:val="none" w:sz="0" w:space="0" w:color="auto"/>
            <w:bottom w:val="none" w:sz="0" w:space="0" w:color="auto"/>
            <w:right w:val="none" w:sz="0" w:space="0" w:color="auto"/>
          </w:divBdr>
        </w:div>
        <w:div w:id="423114308">
          <w:marLeft w:val="0"/>
          <w:marRight w:val="0"/>
          <w:marTop w:val="0"/>
          <w:marBottom w:val="0"/>
          <w:divBdr>
            <w:top w:val="none" w:sz="0" w:space="0" w:color="auto"/>
            <w:left w:val="none" w:sz="0" w:space="0" w:color="auto"/>
            <w:bottom w:val="none" w:sz="0" w:space="0" w:color="auto"/>
            <w:right w:val="none" w:sz="0" w:space="0" w:color="auto"/>
          </w:divBdr>
        </w:div>
        <w:div w:id="1558125507">
          <w:marLeft w:val="0"/>
          <w:marRight w:val="0"/>
          <w:marTop w:val="0"/>
          <w:marBottom w:val="0"/>
          <w:divBdr>
            <w:top w:val="none" w:sz="0" w:space="0" w:color="auto"/>
            <w:left w:val="none" w:sz="0" w:space="0" w:color="auto"/>
            <w:bottom w:val="none" w:sz="0" w:space="0" w:color="auto"/>
            <w:right w:val="none" w:sz="0" w:space="0" w:color="auto"/>
          </w:divBdr>
        </w:div>
      </w:divsChild>
    </w:div>
    <w:div w:id="405760786">
      <w:bodyDiv w:val="1"/>
      <w:marLeft w:val="0"/>
      <w:marRight w:val="0"/>
      <w:marTop w:val="0"/>
      <w:marBottom w:val="0"/>
      <w:divBdr>
        <w:top w:val="none" w:sz="0" w:space="0" w:color="auto"/>
        <w:left w:val="none" w:sz="0" w:space="0" w:color="auto"/>
        <w:bottom w:val="none" w:sz="0" w:space="0" w:color="auto"/>
        <w:right w:val="none" w:sz="0" w:space="0" w:color="auto"/>
      </w:divBdr>
      <w:divsChild>
        <w:div w:id="812480856">
          <w:marLeft w:val="0"/>
          <w:marRight w:val="0"/>
          <w:marTop w:val="0"/>
          <w:marBottom w:val="0"/>
          <w:divBdr>
            <w:top w:val="none" w:sz="0" w:space="0" w:color="auto"/>
            <w:left w:val="none" w:sz="0" w:space="0" w:color="auto"/>
            <w:bottom w:val="none" w:sz="0" w:space="0" w:color="auto"/>
            <w:right w:val="none" w:sz="0" w:space="0" w:color="auto"/>
          </w:divBdr>
        </w:div>
        <w:div w:id="1133406234">
          <w:marLeft w:val="0"/>
          <w:marRight w:val="0"/>
          <w:marTop w:val="0"/>
          <w:marBottom w:val="0"/>
          <w:divBdr>
            <w:top w:val="none" w:sz="0" w:space="0" w:color="auto"/>
            <w:left w:val="none" w:sz="0" w:space="0" w:color="auto"/>
            <w:bottom w:val="none" w:sz="0" w:space="0" w:color="auto"/>
            <w:right w:val="none" w:sz="0" w:space="0" w:color="auto"/>
          </w:divBdr>
        </w:div>
        <w:div w:id="1616667677">
          <w:marLeft w:val="0"/>
          <w:marRight w:val="0"/>
          <w:marTop w:val="0"/>
          <w:marBottom w:val="0"/>
          <w:divBdr>
            <w:top w:val="none" w:sz="0" w:space="0" w:color="auto"/>
            <w:left w:val="none" w:sz="0" w:space="0" w:color="auto"/>
            <w:bottom w:val="none" w:sz="0" w:space="0" w:color="auto"/>
            <w:right w:val="none" w:sz="0" w:space="0" w:color="auto"/>
          </w:divBdr>
        </w:div>
        <w:div w:id="1657150847">
          <w:marLeft w:val="0"/>
          <w:marRight w:val="0"/>
          <w:marTop w:val="0"/>
          <w:marBottom w:val="0"/>
          <w:divBdr>
            <w:top w:val="none" w:sz="0" w:space="0" w:color="auto"/>
            <w:left w:val="none" w:sz="0" w:space="0" w:color="auto"/>
            <w:bottom w:val="none" w:sz="0" w:space="0" w:color="auto"/>
            <w:right w:val="none" w:sz="0" w:space="0" w:color="auto"/>
          </w:divBdr>
        </w:div>
        <w:div w:id="315191208">
          <w:marLeft w:val="0"/>
          <w:marRight w:val="0"/>
          <w:marTop w:val="0"/>
          <w:marBottom w:val="0"/>
          <w:divBdr>
            <w:top w:val="none" w:sz="0" w:space="0" w:color="auto"/>
            <w:left w:val="none" w:sz="0" w:space="0" w:color="auto"/>
            <w:bottom w:val="none" w:sz="0" w:space="0" w:color="auto"/>
            <w:right w:val="none" w:sz="0" w:space="0" w:color="auto"/>
          </w:divBdr>
        </w:div>
      </w:divsChild>
    </w:div>
    <w:div w:id="433135728">
      <w:bodyDiv w:val="1"/>
      <w:marLeft w:val="0"/>
      <w:marRight w:val="0"/>
      <w:marTop w:val="0"/>
      <w:marBottom w:val="0"/>
      <w:divBdr>
        <w:top w:val="none" w:sz="0" w:space="0" w:color="auto"/>
        <w:left w:val="none" w:sz="0" w:space="0" w:color="auto"/>
        <w:bottom w:val="none" w:sz="0" w:space="0" w:color="auto"/>
        <w:right w:val="none" w:sz="0" w:space="0" w:color="auto"/>
      </w:divBdr>
      <w:divsChild>
        <w:div w:id="1591892297">
          <w:marLeft w:val="0"/>
          <w:marRight w:val="0"/>
          <w:marTop w:val="0"/>
          <w:marBottom w:val="0"/>
          <w:divBdr>
            <w:top w:val="none" w:sz="0" w:space="0" w:color="auto"/>
            <w:left w:val="none" w:sz="0" w:space="0" w:color="auto"/>
            <w:bottom w:val="none" w:sz="0" w:space="0" w:color="auto"/>
            <w:right w:val="none" w:sz="0" w:space="0" w:color="auto"/>
          </w:divBdr>
          <w:divsChild>
            <w:div w:id="1376926820">
              <w:marLeft w:val="0"/>
              <w:marRight w:val="0"/>
              <w:marTop w:val="0"/>
              <w:marBottom w:val="0"/>
              <w:divBdr>
                <w:top w:val="none" w:sz="0" w:space="0" w:color="auto"/>
                <w:left w:val="none" w:sz="0" w:space="0" w:color="auto"/>
                <w:bottom w:val="none" w:sz="0" w:space="0" w:color="auto"/>
                <w:right w:val="none" w:sz="0" w:space="0" w:color="auto"/>
              </w:divBdr>
            </w:div>
            <w:div w:id="1798521643">
              <w:marLeft w:val="0"/>
              <w:marRight w:val="0"/>
              <w:marTop w:val="0"/>
              <w:marBottom w:val="0"/>
              <w:divBdr>
                <w:top w:val="none" w:sz="0" w:space="0" w:color="auto"/>
                <w:left w:val="none" w:sz="0" w:space="0" w:color="auto"/>
                <w:bottom w:val="none" w:sz="0" w:space="0" w:color="auto"/>
                <w:right w:val="none" w:sz="0" w:space="0" w:color="auto"/>
              </w:divBdr>
            </w:div>
            <w:div w:id="1848516764">
              <w:marLeft w:val="0"/>
              <w:marRight w:val="0"/>
              <w:marTop w:val="0"/>
              <w:marBottom w:val="0"/>
              <w:divBdr>
                <w:top w:val="none" w:sz="0" w:space="0" w:color="auto"/>
                <w:left w:val="none" w:sz="0" w:space="0" w:color="auto"/>
                <w:bottom w:val="none" w:sz="0" w:space="0" w:color="auto"/>
                <w:right w:val="none" w:sz="0" w:space="0" w:color="auto"/>
              </w:divBdr>
            </w:div>
            <w:div w:id="2134862701">
              <w:marLeft w:val="0"/>
              <w:marRight w:val="0"/>
              <w:marTop w:val="0"/>
              <w:marBottom w:val="0"/>
              <w:divBdr>
                <w:top w:val="none" w:sz="0" w:space="0" w:color="auto"/>
                <w:left w:val="none" w:sz="0" w:space="0" w:color="auto"/>
                <w:bottom w:val="none" w:sz="0" w:space="0" w:color="auto"/>
                <w:right w:val="none" w:sz="0" w:space="0" w:color="auto"/>
              </w:divBdr>
            </w:div>
          </w:divsChild>
        </w:div>
        <w:div w:id="1580480446">
          <w:marLeft w:val="0"/>
          <w:marRight w:val="0"/>
          <w:marTop w:val="0"/>
          <w:marBottom w:val="0"/>
          <w:divBdr>
            <w:top w:val="none" w:sz="0" w:space="0" w:color="auto"/>
            <w:left w:val="none" w:sz="0" w:space="0" w:color="auto"/>
            <w:bottom w:val="none" w:sz="0" w:space="0" w:color="auto"/>
            <w:right w:val="none" w:sz="0" w:space="0" w:color="auto"/>
          </w:divBdr>
        </w:div>
      </w:divsChild>
    </w:div>
    <w:div w:id="515271548">
      <w:bodyDiv w:val="1"/>
      <w:marLeft w:val="0"/>
      <w:marRight w:val="0"/>
      <w:marTop w:val="0"/>
      <w:marBottom w:val="0"/>
      <w:divBdr>
        <w:top w:val="none" w:sz="0" w:space="0" w:color="auto"/>
        <w:left w:val="none" w:sz="0" w:space="0" w:color="auto"/>
        <w:bottom w:val="none" w:sz="0" w:space="0" w:color="auto"/>
        <w:right w:val="none" w:sz="0" w:space="0" w:color="auto"/>
      </w:divBdr>
      <w:divsChild>
        <w:div w:id="1186868280">
          <w:marLeft w:val="0"/>
          <w:marRight w:val="0"/>
          <w:marTop w:val="0"/>
          <w:marBottom w:val="0"/>
          <w:divBdr>
            <w:top w:val="none" w:sz="0" w:space="0" w:color="auto"/>
            <w:left w:val="none" w:sz="0" w:space="0" w:color="auto"/>
            <w:bottom w:val="none" w:sz="0" w:space="0" w:color="auto"/>
            <w:right w:val="none" w:sz="0" w:space="0" w:color="auto"/>
          </w:divBdr>
        </w:div>
        <w:div w:id="97482309">
          <w:marLeft w:val="0"/>
          <w:marRight w:val="0"/>
          <w:marTop w:val="0"/>
          <w:marBottom w:val="0"/>
          <w:divBdr>
            <w:top w:val="none" w:sz="0" w:space="0" w:color="auto"/>
            <w:left w:val="none" w:sz="0" w:space="0" w:color="auto"/>
            <w:bottom w:val="none" w:sz="0" w:space="0" w:color="auto"/>
            <w:right w:val="none" w:sz="0" w:space="0" w:color="auto"/>
          </w:divBdr>
        </w:div>
        <w:div w:id="1510481208">
          <w:marLeft w:val="0"/>
          <w:marRight w:val="0"/>
          <w:marTop w:val="0"/>
          <w:marBottom w:val="0"/>
          <w:divBdr>
            <w:top w:val="none" w:sz="0" w:space="0" w:color="auto"/>
            <w:left w:val="none" w:sz="0" w:space="0" w:color="auto"/>
            <w:bottom w:val="none" w:sz="0" w:space="0" w:color="auto"/>
            <w:right w:val="none" w:sz="0" w:space="0" w:color="auto"/>
          </w:divBdr>
        </w:div>
        <w:div w:id="41637099">
          <w:marLeft w:val="0"/>
          <w:marRight w:val="0"/>
          <w:marTop w:val="0"/>
          <w:marBottom w:val="0"/>
          <w:divBdr>
            <w:top w:val="none" w:sz="0" w:space="0" w:color="auto"/>
            <w:left w:val="none" w:sz="0" w:space="0" w:color="auto"/>
            <w:bottom w:val="none" w:sz="0" w:space="0" w:color="auto"/>
            <w:right w:val="none" w:sz="0" w:space="0" w:color="auto"/>
          </w:divBdr>
        </w:div>
        <w:div w:id="1849907757">
          <w:marLeft w:val="0"/>
          <w:marRight w:val="0"/>
          <w:marTop w:val="0"/>
          <w:marBottom w:val="0"/>
          <w:divBdr>
            <w:top w:val="none" w:sz="0" w:space="0" w:color="auto"/>
            <w:left w:val="none" w:sz="0" w:space="0" w:color="auto"/>
            <w:bottom w:val="none" w:sz="0" w:space="0" w:color="auto"/>
            <w:right w:val="none" w:sz="0" w:space="0" w:color="auto"/>
          </w:divBdr>
        </w:div>
      </w:divsChild>
    </w:div>
    <w:div w:id="668291187">
      <w:bodyDiv w:val="1"/>
      <w:marLeft w:val="0"/>
      <w:marRight w:val="0"/>
      <w:marTop w:val="0"/>
      <w:marBottom w:val="0"/>
      <w:divBdr>
        <w:top w:val="none" w:sz="0" w:space="0" w:color="auto"/>
        <w:left w:val="none" w:sz="0" w:space="0" w:color="auto"/>
        <w:bottom w:val="none" w:sz="0" w:space="0" w:color="auto"/>
        <w:right w:val="none" w:sz="0" w:space="0" w:color="auto"/>
      </w:divBdr>
      <w:divsChild>
        <w:div w:id="1459912459">
          <w:marLeft w:val="0"/>
          <w:marRight w:val="0"/>
          <w:marTop w:val="0"/>
          <w:marBottom w:val="0"/>
          <w:divBdr>
            <w:top w:val="none" w:sz="0" w:space="0" w:color="auto"/>
            <w:left w:val="none" w:sz="0" w:space="0" w:color="auto"/>
            <w:bottom w:val="none" w:sz="0" w:space="0" w:color="auto"/>
            <w:right w:val="none" w:sz="0" w:space="0" w:color="auto"/>
          </w:divBdr>
          <w:divsChild>
            <w:div w:id="792870795">
              <w:marLeft w:val="0"/>
              <w:marRight w:val="0"/>
              <w:marTop w:val="0"/>
              <w:marBottom w:val="0"/>
              <w:divBdr>
                <w:top w:val="none" w:sz="0" w:space="0" w:color="auto"/>
                <w:left w:val="none" w:sz="0" w:space="0" w:color="auto"/>
                <w:bottom w:val="none" w:sz="0" w:space="0" w:color="auto"/>
                <w:right w:val="none" w:sz="0" w:space="0" w:color="auto"/>
              </w:divBdr>
            </w:div>
          </w:divsChild>
        </w:div>
        <w:div w:id="336151728">
          <w:marLeft w:val="0"/>
          <w:marRight w:val="0"/>
          <w:marTop w:val="0"/>
          <w:marBottom w:val="0"/>
          <w:divBdr>
            <w:top w:val="none" w:sz="0" w:space="0" w:color="auto"/>
            <w:left w:val="none" w:sz="0" w:space="0" w:color="auto"/>
            <w:bottom w:val="none" w:sz="0" w:space="0" w:color="auto"/>
            <w:right w:val="none" w:sz="0" w:space="0" w:color="auto"/>
          </w:divBdr>
        </w:div>
      </w:divsChild>
    </w:div>
    <w:div w:id="746269947">
      <w:bodyDiv w:val="1"/>
      <w:marLeft w:val="0"/>
      <w:marRight w:val="0"/>
      <w:marTop w:val="0"/>
      <w:marBottom w:val="0"/>
      <w:divBdr>
        <w:top w:val="none" w:sz="0" w:space="0" w:color="auto"/>
        <w:left w:val="none" w:sz="0" w:space="0" w:color="auto"/>
        <w:bottom w:val="none" w:sz="0" w:space="0" w:color="auto"/>
        <w:right w:val="none" w:sz="0" w:space="0" w:color="auto"/>
      </w:divBdr>
      <w:divsChild>
        <w:div w:id="2120758911">
          <w:marLeft w:val="0"/>
          <w:marRight w:val="0"/>
          <w:marTop w:val="0"/>
          <w:marBottom w:val="0"/>
          <w:divBdr>
            <w:top w:val="none" w:sz="0" w:space="0" w:color="auto"/>
            <w:left w:val="none" w:sz="0" w:space="0" w:color="auto"/>
            <w:bottom w:val="none" w:sz="0" w:space="0" w:color="auto"/>
            <w:right w:val="none" w:sz="0" w:space="0" w:color="auto"/>
          </w:divBdr>
        </w:div>
      </w:divsChild>
    </w:div>
    <w:div w:id="748894182">
      <w:bodyDiv w:val="1"/>
      <w:marLeft w:val="0"/>
      <w:marRight w:val="0"/>
      <w:marTop w:val="0"/>
      <w:marBottom w:val="0"/>
      <w:divBdr>
        <w:top w:val="none" w:sz="0" w:space="0" w:color="auto"/>
        <w:left w:val="none" w:sz="0" w:space="0" w:color="auto"/>
        <w:bottom w:val="none" w:sz="0" w:space="0" w:color="auto"/>
        <w:right w:val="none" w:sz="0" w:space="0" w:color="auto"/>
      </w:divBdr>
      <w:divsChild>
        <w:div w:id="486285902">
          <w:marLeft w:val="0"/>
          <w:marRight w:val="0"/>
          <w:marTop w:val="0"/>
          <w:marBottom w:val="0"/>
          <w:divBdr>
            <w:top w:val="none" w:sz="0" w:space="0" w:color="auto"/>
            <w:left w:val="none" w:sz="0" w:space="0" w:color="auto"/>
            <w:bottom w:val="none" w:sz="0" w:space="0" w:color="auto"/>
            <w:right w:val="none" w:sz="0" w:space="0" w:color="auto"/>
          </w:divBdr>
        </w:div>
      </w:divsChild>
    </w:div>
    <w:div w:id="1035696595">
      <w:bodyDiv w:val="1"/>
      <w:marLeft w:val="0"/>
      <w:marRight w:val="0"/>
      <w:marTop w:val="0"/>
      <w:marBottom w:val="0"/>
      <w:divBdr>
        <w:top w:val="none" w:sz="0" w:space="0" w:color="auto"/>
        <w:left w:val="none" w:sz="0" w:space="0" w:color="auto"/>
        <w:bottom w:val="none" w:sz="0" w:space="0" w:color="auto"/>
        <w:right w:val="none" w:sz="0" w:space="0" w:color="auto"/>
      </w:divBdr>
      <w:divsChild>
        <w:div w:id="729578129">
          <w:marLeft w:val="0"/>
          <w:marRight w:val="0"/>
          <w:marTop w:val="0"/>
          <w:marBottom w:val="0"/>
          <w:divBdr>
            <w:top w:val="none" w:sz="0" w:space="0" w:color="auto"/>
            <w:left w:val="none" w:sz="0" w:space="0" w:color="auto"/>
            <w:bottom w:val="none" w:sz="0" w:space="0" w:color="auto"/>
            <w:right w:val="none" w:sz="0" w:space="0" w:color="auto"/>
          </w:divBdr>
          <w:divsChild>
            <w:div w:id="900333953">
              <w:marLeft w:val="0"/>
              <w:marRight w:val="0"/>
              <w:marTop w:val="0"/>
              <w:marBottom w:val="0"/>
              <w:divBdr>
                <w:top w:val="none" w:sz="0" w:space="0" w:color="auto"/>
                <w:left w:val="none" w:sz="0" w:space="0" w:color="auto"/>
                <w:bottom w:val="none" w:sz="0" w:space="0" w:color="auto"/>
                <w:right w:val="none" w:sz="0" w:space="0" w:color="auto"/>
              </w:divBdr>
            </w:div>
          </w:divsChild>
        </w:div>
        <w:div w:id="655571673">
          <w:marLeft w:val="0"/>
          <w:marRight w:val="0"/>
          <w:marTop w:val="0"/>
          <w:marBottom w:val="0"/>
          <w:divBdr>
            <w:top w:val="none" w:sz="0" w:space="0" w:color="auto"/>
            <w:left w:val="none" w:sz="0" w:space="0" w:color="auto"/>
            <w:bottom w:val="none" w:sz="0" w:space="0" w:color="auto"/>
            <w:right w:val="none" w:sz="0" w:space="0" w:color="auto"/>
          </w:divBdr>
        </w:div>
      </w:divsChild>
    </w:div>
    <w:div w:id="1044987083">
      <w:bodyDiv w:val="1"/>
      <w:marLeft w:val="0"/>
      <w:marRight w:val="0"/>
      <w:marTop w:val="0"/>
      <w:marBottom w:val="0"/>
      <w:divBdr>
        <w:top w:val="none" w:sz="0" w:space="0" w:color="auto"/>
        <w:left w:val="none" w:sz="0" w:space="0" w:color="auto"/>
        <w:bottom w:val="none" w:sz="0" w:space="0" w:color="auto"/>
        <w:right w:val="none" w:sz="0" w:space="0" w:color="auto"/>
      </w:divBdr>
      <w:divsChild>
        <w:div w:id="1697655469">
          <w:marLeft w:val="0"/>
          <w:marRight w:val="0"/>
          <w:marTop w:val="0"/>
          <w:marBottom w:val="0"/>
          <w:divBdr>
            <w:top w:val="none" w:sz="0" w:space="0" w:color="auto"/>
            <w:left w:val="none" w:sz="0" w:space="0" w:color="auto"/>
            <w:bottom w:val="none" w:sz="0" w:space="0" w:color="auto"/>
            <w:right w:val="none" w:sz="0" w:space="0" w:color="auto"/>
          </w:divBdr>
          <w:divsChild>
            <w:div w:id="1587838173">
              <w:marLeft w:val="0"/>
              <w:marRight w:val="0"/>
              <w:marTop w:val="0"/>
              <w:marBottom w:val="0"/>
              <w:divBdr>
                <w:top w:val="none" w:sz="0" w:space="0" w:color="auto"/>
                <w:left w:val="none" w:sz="0" w:space="0" w:color="auto"/>
                <w:bottom w:val="none" w:sz="0" w:space="0" w:color="auto"/>
                <w:right w:val="none" w:sz="0" w:space="0" w:color="auto"/>
              </w:divBdr>
            </w:div>
          </w:divsChild>
        </w:div>
        <w:div w:id="1361398782">
          <w:marLeft w:val="0"/>
          <w:marRight w:val="0"/>
          <w:marTop w:val="0"/>
          <w:marBottom w:val="0"/>
          <w:divBdr>
            <w:top w:val="none" w:sz="0" w:space="0" w:color="auto"/>
            <w:left w:val="none" w:sz="0" w:space="0" w:color="auto"/>
            <w:bottom w:val="none" w:sz="0" w:space="0" w:color="auto"/>
            <w:right w:val="none" w:sz="0" w:space="0" w:color="auto"/>
          </w:divBdr>
        </w:div>
        <w:div w:id="2089184152">
          <w:marLeft w:val="0"/>
          <w:marRight w:val="0"/>
          <w:marTop w:val="0"/>
          <w:marBottom w:val="0"/>
          <w:divBdr>
            <w:top w:val="none" w:sz="0" w:space="0" w:color="auto"/>
            <w:left w:val="none" w:sz="0" w:space="0" w:color="auto"/>
            <w:bottom w:val="none" w:sz="0" w:space="0" w:color="auto"/>
            <w:right w:val="none" w:sz="0" w:space="0" w:color="auto"/>
          </w:divBdr>
        </w:div>
      </w:divsChild>
    </w:div>
    <w:div w:id="1127359098">
      <w:bodyDiv w:val="1"/>
      <w:marLeft w:val="0"/>
      <w:marRight w:val="0"/>
      <w:marTop w:val="0"/>
      <w:marBottom w:val="0"/>
      <w:divBdr>
        <w:top w:val="none" w:sz="0" w:space="0" w:color="auto"/>
        <w:left w:val="none" w:sz="0" w:space="0" w:color="auto"/>
        <w:bottom w:val="none" w:sz="0" w:space="0" w:color="auto"/>
        <w:right w:val="none" w:sz="0" w:space="0" w:color="auto"/>
      </w:divBdr>
      <w:divsChild>
        <w:div w:id="2125684973">
          <w:marLeft w:val="0"/>
          <w:marRight w:val="0"/>
          <w:marTop w:val="0"/>
          <w:marBottom w:val="0"/>
          <w:divBdr>
            <w:top w:val="none" w:sz="0" w:space="0" w:color="auto"/>
            <w:left w:val="none" w:sz="0" w:space="0" w:color="auto"/>
            <w:bottom w:val="none" w:sz="0" w:space="0" w:color="auto"/>
            <w:right w:val="none" w:sz="0" w:space="0" w:color="auto"/>
          </w:divBdr>
        </w:div>
        <w:div w:id="104421691">
          <w:marLeft w:val="0"/>
          <w:marRight w:val="0"/>
          <w:marTop w:val="0"/>
          <w:marBottom w:val="0"/>
          <w:divBdr>
            <w:top w:val="none" w:sz="0" w:space="0" w:color="auto"/>
            <w:left w:val="none" w:sz="0" w:space="0" w:color="auto"/>
            <w:bottom w:val="none" w:sz="0" w:space="0" w:color="auto"/>
            <w:right w:val="none" w:sz="0" w:space="0" w:color="auto"/>
          </w:divBdr>
        </w:div>
        <w:div w:id="1256598731">
          <w:marLeft w:val="0"/>
          <w:marRight w:val="0"/>
          <w:marTop w:val="0"/>
          <w:marBottom w:val="0"/>
          <w:divBdr>
            <w:top w:val="none" w:sz="0" w:space="0" w:color="auto"/>
            <w:left w:val="none" w:sz="0" w:space="0" w:color="auto"/>
            <w:bottom w:val="none" w:sz="0" w:space="0" w:color="auto"/>
            <w:right w:val="none" w:sz="0" w:space="0" w:color="auto"/>
          </w:divBdr>
        </w:div>
        <w:div w:id="2075346665">
          <w:marLeft w:val="0"/>
          <w:marRight w:val="0"/>
          <w:marTop w:val="0"/>
          <w:marBottom w:val="0"/>
          <w:divBdr>
            <w:top w:val="none" w:sz="0" w:space="0" w:color="auto"/>
            <w:left w:val="none" w:sz="0" w:space="0" w:color="auto"/>
            <w:bottom w:val="none" w:sz="0" w:space="0" w:color="auto"/>
            <w:right w:val="none" w:sz="0" w:space="0" w:color="auto"/>
          </w:divBdr>
        </w:div>
        <w:div w:id="1853647544">
          <w:marLeft w:val="0"/>
          <w:marRight w:val="0"/>
          <w:marTop w:val="0"/>
          <w:marBottom w:val="0"/>
          <w:divBdr>
            <w:top w:val="none" w:sz="0" w:space="0" w:color="auto"/>
            <w:left w:val="none" w:sz="0" w:space="0" w:color="auto"/>
            <w:bottom w:val="none" w:sz="0" w:space="0" w:color="auto"/>
            <w:right w:val="none" w:sz="0" w:space="0" w:color="auto"/>
          </w:divBdr>
        </w:div>
      </w:divsChild>
    </w:div>
    <w:div w:id="1630746015">
      <w:bodyDiv w:val="1"/>
      <w:marLeft w:val="0"/>
      <w:marRight w:val="0"/>
      <w:marTop w:val="0"/>
      <w:marBottom w:val="0"/>
      <w:divBdr>
        <w:top w:val="none" w:sz="0" w:space="0" w:color="auto"/>
        <w:left w:val="none" w:sz="0" w:space="0" w:color="auto"/>
        <w:bottom w:val="none" w:sz="0" w:space="0" w:color="auto"/>
        <w:right w:val="none" w:sz="0" w:space="0" w:color="auto"/>
      </w:divBdr>
      <w:divsChild>
        <w:div w:id="1391609143">
          <w:marLeft w:val="0"/>
          <w:marRight w:val="0"/>
          <w:marTop w:val="0"/>
          <w:marBottom w:val="0"/>
          <w:divBdr>
            <w:top w:val="none" w:sz="0" w:space="0" w:color="auto"/>
            <w:left w:val="none" w:sz="0" w:space="0" w:color="auto"/>
            <w:bottom w:val="none" w:sz="0" w:space="0" w:color="auto"/>
            <w:right w:val="none" w:sz="0" w:space="0" w:color="auto"/>
          </w:divBdr>
        </w:div>
      </w:divsChild>
    </w:div>
    <w:div w:id="1765106733">
      <w:bodyDiv w:val="1"/>
      <w:marLeft w:val="0"/>
      <w:marRight w:val="0"/>
      <w:marTop w:val="0"/>
      <w:marBottom w:val="0"/>
      <w:divBdr>
        <w:top w:val="none" w:sz="0" w:space="0" w:color="auto"/>
        <w:left w:val="none" w:sz="0" w:space="0" w:color="auto"/>
        <w:bottom w:val="none" w:sz="0" w:space="0" w:color="auto"/>
        <w:right w:val="none" w:sz="0" w:space="0" w:color="auto"/>
      </w:divBdr>
      <w:divsChild>
        <w:div w:id="491069512">
          <w:marLeft w:val="0"/>
          <w:marRight w:val="0"/>
          <w:marTop w:val="0"/>
          <w:marBottom w:val="0"/>
          <w:divBdr>
            <w:top w:val="none" w:sz="0" w:space="0" w:color="auto"/>
            <w:left w:val="none" w:sz="0" w:space="0" w:color="auto"/>
            <w:bottom w:val="none" w:sz="0" w:space="0" w:color="auto"/>
            <w:right w:val="none" w:sz="0" w:space="0" w:color="auto"/>
          </w:divBdr>
        </w:div>
        <w:div w:id="1857039047">
          <w:marLeft w:val="0"/>
          <w:marRight w:val="0"/>
          <w:marTop w:val="0"/>
          <w:marBottom w:val="0"/>
          <w:divBdr>
            <w:top w:val="none" w:sz="0" w:space="0" w:color="auto"/>
            <w:left w:val="none" w:sz="0" w:space="0" w:color="auto"/>
            <w:bottom w:val="none" w:sz="0" w:space="0" w:color="auto"/>
            <w:right w:val="none" w:sz="0" w:space="0" w:color="auto"/>
          </w:divBdr>
        </w:div>
        <w:div w:id="794834633">
          <w:marLeft w:val="0"/>
          <w:marRight w:val="0"/>
          <w:marTop w:val="0"/>
          <w:marBottom w:val="0"/>
          <w:divBdr>
            <w:top w:val="none" w:sz="0" w:space="0" w:color="auto"/>
            <w:left w:val="none" w:sz="0" w:space="0" w:color="auto"/>
            <w:bottom w:val="none" w:sz="0" w:space="0" w:color="auto"/>
            <w:right w:val="none" w:sz="0" w:space="0" w:color="auto"/>
          </w:divBdr>
        </w:div>
        <w:div w:id="1703749669">
          <w:marLeft w:val="0"/>
          <w:marRight w:val="0"/>
          <w:marTop w:val="0"/>
          <w:marBottom w:val="0"/>
          <w:divBdr>
            <w:top w:val="none" w:sz="0" w:space="0" w:color="auto"/>
            <w:left w:val="none" w:sz="0" w:space="0" w:color="auto"/>
            <w:bottom w:val="none" w:sz="0" w:space="0" w:color="auto"/>
            <w:right w:val="none" w:sz="0" w:space="0" w:color="auto"/>
          </w:divBdr>
        </w:div>
        <w:div w:id="493224319">
          <w:marLeft w:val="0"/>
          <w:marRight w:val="0"/>
          <w:marTop w:val="0"/>
          <w:marBottom w:val="0"/>
          <w:divBdr>
            <w:top w:val="none" w:sz="0" w:space="0" w:color="auto"/>
            <w:left w:val="none" w:sz="0" w:space="0" w:color="auto"/>
            <w:bottom w:val="none" w:sz="0" w:space="0" w:color="auto"/>
            <w:right w:val="none" w:sz="0" w:space="0" w:color="auto"/>
          </w:divBdr>
        </w:div>
      </w:divsChild>
    </w:div>
    <w:div w:id="1832020814">
      <w:bodyDiv w:val="1"/>
      <w:marLeft w:val="0"/>
      <w:marRight w:val="0"/>
      <w:marTop w:val="0"/>
      <w:marBottom w:val="0"/>
      <w:divBdr>
        <w:top w:val="none" w:sz="0" w:space="0" w:color="auto"/>
        <w:left w:val="none" w:sz="0" w:space="0" w:color="auto"/>
        <w:bottom w:val="none" w:sz="0" w:space="0" w:color="auto"/>
        <w:right w:val="none" w:sz="0" w:space="0" w:color="auto"/>
      </w:divBdr>
      <w:divsChild>
        <w:div w:id="1505510804">
          <w:marLeft w:val="0"/>
          <w:marRight w:val="0"/>
          <w:marTop w:val="0"/>
          <w:marBottom w:val="0"/>
          <w:divBdr>
            <w:top w:val="none" w:sz="0" w:space="0" w:color="auto"/>
            <w:left w:val="none" w:sz="0" w:space="0" w:color="auto"/>
            <w:bottom w:val="none" w:sz="0" w:space="0" w:color="auto"/>
            <w:right w:val="none" w:sz="0" w:space="0" w:color="auto"/>
          </w:divBdr>
        </w:div>
        <w:div w:id="1536769800">
          <w:marLeft w:val="0"/>
          <w:marRight w:val="0"/>
          <w:marTop w:val="0"/>
          <w:marBottom w:val="0"/>
          <w:divBdr>
            <w:top w:val="none" w:sz="0" w:space="0" w:color="auto"/>
            <w:left w:val="none" w:sz="0" w:space="0" w:color="auto"/>
            <w:bottom w:val="none" w:sz="0" w:space="0" w:color="auto"/>
            <w:right w:val="none" w:sz="0" w:space="0" w:color="auto"/>
          </w:divBdr>
        </w:div>
        <w:div w:id="1005668453">
          <w:marLeft w:val="0"/>
          <w:marRight w:val="0"/>
          <w:marTop w:val="0"/>
          <w:marBottom w:val="0"/>
          <w:divBdr>
            <w:top w:val="none" w:sz="0" w:space="0" w:color="auto"/>
            <w:left w:val="none" w:sz="0" w:space="0" w:color="auto"/>
            <w:bottom w:val="none" w:sz="0" w:space="0" w:color="auto"/>
            <w:right w:val="none" w:sz="0" w:space="0" w:color="auto"/>
          </w:divBdr>
        </w:div>
        <w:div w:id="1635285008">
          <w:marLeft w:val="0"/>
          <w:marRight w:val="0"/>
          <w:marTop w:val="0"/>
          <w:marBottom w:val="0"/>
          <w:divBdr>
            <w:top w:val="none" w:sz="0" w:space="0" w:color="auto"/>
            <w:left w:val="none" w:sz="0" w:space="0" w:color="auto"/>
            <w:bottom w:val="none" w:sz="0" w:space="0" w:color="auto"/>
            <w:right w:val="none" w:sz="0" w:space="0" w:color="auto"/>
          </w:divBdr>
        </w:div>
        <w:div w:id="1734693530">
          <w:marLeft w:val="0"/>
          <w:marRight w:val="0"/>
          <w:marTop w:val="0"/>
          <w:marBottom w:val="0"/>
          <w:divBdr>
            <w:top w:val="none" w:sz="0" w:space="0" w:color="auto"/>
            <w:left w:val="none" w:sz="0" w:space="0" w:color="auto"/>
            <w:bottom w:val="none" w:sz="0" w:space="0" w:color="auto"/>
            <w:right w:val="none" w:sz="0" w:space="0" w:color="auto"/>
          </w:divBdr>
          <w:divsChild>
            <w:div w:id="554388988">
              <w:marLeft w:val="0"/>
              <w:marRight w:val="0"/>
              <w:marTop w:val="0"/>
              <w:marBottom w:val="0"/>
              <w:divBdr>
                <w:top w:val="none" w:sz="0" w:space="0" w:color="auto"/>
                <w:left w:val="none" w:sz="0" w:space="0" w:color="auto"/>
                <w:bottom w:val="none" w:sz="0" w:space="0" w:color="auto"/>
                <w:right w:val="none" w:sz="0" w:space="0" w:color="auto"/>
              </w:divBdr>
            </w:div>
          </w:divsChild>
        </w:div>
        <w:div w:id="1823694794">
          <w:marLeft w:val="0"/>
          <w:marRight w:val="0"/>
          <w:marTop w:val="0"/>
          <w:marBottom w:val="0"/>
          <w:divBdr>
            <w:top w:val="none" w:sz="0" w:space="0" w:color="auto"/>
            <w:left w:val="none" w:sz="0" w:space="0" w:color="auto"/>
            <w:bottom w:val="none" w:sz="0" w:space="0" w:color="auto"/>
            <w:right w:val="none" w:sz="0" w:space="0" w:color="auto"/>
          </w:divBdr>
        </w:div>
      </w:divsChild>
    </w:div>
    <w:div w:id="1907568134">
      <w:bodyDiv w:val="1"/>
      <w:marLeft w:val="0"/>
      <w:marRight w:val="0"/>
      <w:marTop w:val="0"/>
      <w:marBottom w:val="0"/>
      <w:divBdr>
        <w:top w:val="none" w:sz="0" w:space="0" w:color="auto"/>
        <w:left w:val="none" w:sz="0" w:space="0" w:color="auto"/>
        <w:bottom w:val="none" w:sz="0" w:space="0" w:color="auto"/>
        <w:right w:val="none" w:sz="0" w:space="0" w:color="auto"/>
      </w:divBdr>
      <w:divsChild>
        <w:div w:id="1784879289">
          <w:marLeft w:val="0"/>
          <w:marRight w:val="0"/>
          <w:marTop w:val="0"/>
          <w:marBottom w:val="0"/>
          <w:divBdr>
            <w:top w:val="none" w:sz="0" w:space="0" w:color="auto"/>
            <w:left w:val="none" w:sz="0" w:space="0" w:color="auto"/>
            <w:bottom w:val="none" w:sz="0" w:space="0" w:color="auto"/>
            <w:right w:val="none" w:sz="0" w:space="0" w:color="auto"/>
          </w:divBdr>
          <w:divsChild>
            <w:div w:id="2053844127">
              <w:marLeft w:val="0"/>
              <w:marRight w:val="0"/>
              <w:marTop w:val="0"/>
              <w:marBottom w:val="0"/>
              <w:divBdr>
                <w:top w:val="none" w:sz="0" w:space="0" w:color="auto"/>
                <w:left w:val="none" w:sz="0" w:space="0" w:color="auto"/>
                <w:bottom w:val="none" w:sz="0" w:space="0" w:color="auto"/>
                <w:right w:val="none" w:sz="0" w:space="0" w:color="auto"/>
              </w:divBdr>
            </w:div>
            <w:div w:id="1598097312">
              <w:marLeft w:val="0"/>
              <w:marRight w:val="0"/>
              <w:marTop w:val="0"/>
              <w:marBottom w:val="0"/>
              <w:divBdr>
                <w:top w:val="none" w:sz="0" w:space="0" w:color="auto"/>
                <w:left w:val="none" w:sz="0" w:space="0" w:color="auto"/>
                <w:bottom w:val="none" w:sz="0" w:space="0" w:color="auto"/>
                <w:right w:val="none" w:sz="0" w:space="0" w:color="auto"/>
              </w:divBdr>
            </w:div>
            <w:div w:id="446588428">
              <w:marLeft w:val="0"/>
              <w:marRight w:val="0"/>
              <w:marTop w:val="0"/>
              <w:marBottom w:val="0"/>
              <w:divBdr>
                <w:top w:val="none" w:sz="0" w:space="0" w:color="auto"/>
                <w:left w:val="none" w:sz="0" w:space="0" w:color="auto"/>
                <w:bottom w:val="none" w:sz="0" w:space="0" w:color="auto"/>
                <w:right w:val="none" w:sz="0" w:space="0" w:color="auto"/>
              </w:divBdr>
            </w:div>
            <w:div w:id="139421032">
              <w:marLeft w:val="0"/>
              <w:marRight w:val="0"/>
              <w:marTop w:val="0"/>
              <w:marBottom w:val="0"/>
              <w:divBdr>
                <w:top w:val="none" w:sz="0" w:space="0" w:color="auto"/>
                <w:left w:val="none" w:sz="0" w:space="0" w:color="auto"/>
                <w:bottom w:val="none" w:sz="0" w:space="0" w:color="auto"/>
                <w:right w:val="none" w:sz="0" w:space="0" w:color="auto"/>
              </w:divBdr>
            </w:div>
          </w:divsChild>
        </w:div>
        <w:div w:id="484518314">
          <w:marLeft w:val="0"/>
          <w:marRight w:val="0"/>
          <w:marTop w:val="0"/>
          <w:marBottom w:val="0"/>
          <w:divBdr>
            <w:top w:val="none" w:sz="0" w:space="0" w:color="auto"/>
            <w:left w:val="none" w:sz="0" w:space="0" w:color="auto"/>
            <w:bottom w:val="none" w:sz="0" w:space="0" w:color="auto"/>
            <w:right w:val="none" w:sz="0" w:space="0" w:color="auto"/>
          </w:divBdr>
        </w:div>
      </w:divsChild>
    </w:div>
    <w:div w:id="2000113466">
      <w:bodyDiv w:val="1"/>
      <w:marLeft w:val="0"/>
      <w:marRight w:val="0"/>
      <w:marTop w:val="0"/>
      <w:marBottom w:val="0"/>
      <w:divBdr>
        <w:top w:val="none" w:sz="0" w:space="0" w:color="auto"/>
        <w:left w:val="none" w:sz="0" w:space="0" w:color="auto"/>
        <w:bottom w:val="none" w:sz="0" w:space="0" w:color="auto"/>
        <w:right w:val="none" w:sz="0" w:space="0" w:color="auto"/>
      </w:divBdr>
      <w:divsChild>
        <w:div w:id="1733583207">
          <w:marLeft w:val="0"/>
          <w:marRight w:val="0"/>
          <w:marTop w:val="0"/>
          <w:marBottom w:val="0"/>
          <w:divBdr>
            <w:top w:val="none" w:sz="0" w:space="0" w:color="auto"/>
            <w:left w:val="none" w:sz="0" w:space="0" w:color="auto"/>
            <w:bottom w:val="none" w:sz="0" w:space="0" w:color="auto"/>
            <w:right w:val="none" w:sz="0" w:space="0" w:color="auto"/>
          </w:divBdr>
          <w:divsChild>
            <w:div w:id="1101073838">
              <w:marLeft w:val="0"/>
              <w:marRight w:val="0"/>
              <w:marTop w:val="0"/>
              <w:marBottom w:val="0"/>
              <w:divBdr>
                <w:top w:val="none" w:sz="0" w:space="0" w:color="auto"/>
                <w:left w:val="none" w:sz="0" w:space="0" w:color="auto"/>
                <w:bottom w:val="none" w:sz="0" w:space="0" w:color="auto"/>
                <w:right w:val="none" w:sz="0" w:space="0" w:color="auto"/>
              </w:divBdr>
            </w:div>
          </w:divsChild>
        </w:div>
        <w:div w:id="1150093422">
          <w:marLeft w:val="0"/>
          <w:marRight w:val="0"/>
          <w:marTop w:val="0"/>
          <w:marBottom w:val="0"/>
          <w:divBdr>
            <w:top w:val="none" w:sz="0" w:space="0" w:color="auto"/>
            <w:left w:val="none" w:sz="0" w:space="0" w:color="auto"/>
            <w:bottom w:val="none" w:sz="0" w:space="0" w:color="auto"/>
            <w:right w:val="none" w:sz="0" w:space="0" w:color="auto"/>
          </w:divBdr>
        </w:div>
        <w:div w:id="170906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eck-online.beck.de/?typ=reference&amp;y=100&amp;a=5&amp;g=EWG_VO_593_2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6676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Rechenzentrum der Universität Würzburg</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EMK</dc:creator>
  <cp:lastModifiedBy>Heike Matthes</cp:lastModifiedBy>
  <cp:revision>3</cp:revision>
  <dcterms:created xsi:type="dcterms:W3CDTF">2019-01-31T08:19:00Z</dcterms:created>
  <dcterms:modified xsi:type="dcterms:W3CDTF">2019-01-31T08:21:00Z</dcterms:modified>
</cp:coreProperties>
</file>