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margin" w:tblpY="-257"/>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3"/>
        <w:gridCol w:w="5297"/>
      </w:tblGrid>
      <w:tr w:rsidR="00B50025" w:rsidRPr="002469C0">
        <w:trPr>
          <w:trHeight w:hRule="exact" w:val="369"/>
        </w:trPr>
        <w:tc>
          <w:tcPr>
            <w:tcW w:w="4603" w:type="dxa"/>
            <w:vMerge w:val="restart"/>
          </w:tcPr>
          <w:p w:rsidR="00D10336" w:rsidRPr="002469C0" w:rsidRDefault="00D10336" w:rsidP="0025041D">
            <w:pPr>
              <w:tabs>
                <w:tab w:val="left" w:pos="4500"/>
              </w:tabs>
              <w:rPr>
                <w:rFonts w:cs="Arial"/>
              </w:rPr>
            </w:pPr>
          </w:p>
          <w:p w:rsidR="00D10336" w:rsidRPr="002469C0" w:rsidRDefault="00D10336" w:rsidP="0025041D">
            <w:pPr>
              <w:rPr>
                <w:rFonts w:cs="Arial"/>
              </w:rPr>
            </w:pPr>
          </w:p>
          <w:p w:rsidR="00D10336" w:rsidRPr="002469C0" w:rsidRDefault="00D10336" w:rsidP="0025041D">
            <w:pPr>
              <w:rPr>
                <w:rFonts w:cs="Arial"/>
              </w:rPr>
            </w:pPr>
          </w:p>
          <w:p w:rsidR="00D10336" w:rsidRPr="002469C0" w:rsidRDefault="00D10336" w:rsidP="0025041D">
            <w:pPr>
              <w:rPr>
                <w:rFonts w:cs="Arial"/>
              </w:rPr>
            </w:pPr>
          </w:p>
          <w:p w:rsidR="00B50025" w:rsidRPr="002469C0" w:rsidRDefault="00B50025" w:rsidP="0025041D">
            <w:pPr>
              <w:rPr>
                <w:rFonts w:cs="Arial"/>
              </w:rPr>
            </w:pPr>
          </w:p>
        </w:tc>
        <w:tc>
          <w:tcPr>
            <w:tcW w:w="5297" w:type="dxa"/>
          </w:tcPr>
          <w:p w:rsidR="00B50025" w:rsidRPr="002469C0" w:rsidRDefault="00B50025" w:rsidP="0025041D">
            <w:pPr>
              <w:tabs>
                <w:tab w:val="left" w:pos="4500"/>
              </w:tabs>
              <w:rPr>
                <w:rFonts w:cs="Arial"/>
              </w:rPr>
            </w:pPr>
          </w:p>
        </w:tc>
      </w:tr>
      <w:tr w:rsidR="00B50025" w:rsidRPr="002469C0">
        <w:trPr>
          <w:trHeight w:hRule="exact" w:val="680"/>
        </w:trPr>
        <w:tc>
          <w:tcPr>
            <w:tcW w:w="4603" w:type="dxa"/>
            <w:vMerge/>
          </w:tcPr>
          <w:p w:rsidR="00B50025" w:rsidRPr="002469C0" w:rsidRDefault="00B50025" w:rsidP="0025041D">
            <w:pPr>
              <w:tabs>
                <w:tab w:val="left" w:pos="4500"/>
              </w:tabs>
              <w:rPr>
                <w:rFonts w:cs="Arial"/>
              </w:rPr>
            </w:pPr>
          </w:p>
        </w:tc>
        <w:tc>
          <w:tcPr>
            <w:tcW w:w="5297" w:type="dxa"/>
            <w:vAlign w:val="bottom"/>
          </w:tcPr>
          <w:p w:rsidR="00B50025" w:rsidRPr="002469C0" w:rsidRDefault="00C34A32" w:rsidP="0025041D">
            <w:pPr>
              <w:tabs>
                <w:tab w:val="left" w:pos="2200"/>
              </w:tabs>
              <w:rPr>
                <w:rFonts w:cs="Arial"/>
                <w:sz w:val="24"/>
              </w:rPr>
            </w:pPr>
            <w:r w:rsidRPr="002469C0">
              <w:rPr>
                <w:rFonts w:cs="Arial"/>
                <w:sz w:val="24"/>
              </w:rPr>
              <w:tab/>
              <w:t>J</w:t>
            </w:r>
            <w:r w:rsidRPr="002469C0">
              <w:rPr>
                <w:rFonts w:eastAsia="Dotum" w:cs="Arial"/>
                <w:sz w:val="24"/>
              </w:rPr>
              <w:t>uristische Fakultät</w:t>
            </w:r>
          </w:p>
        </w:tc>
      </w:tr>
      <w:tr w:rsidR="00B50025" w:rsidRPr="002469C0">
        <w:trPr>
          <w:trHeight w:hRule="exact" w:val="369"/>
        </w:trPr>
        <w:tc>
          <w:tcPr>
            <w:tcW w:w="4603" w:type="dxa"/>
            <w:vMerge/>
          </w:tcPr>
          <w:p w:rsidR="00B50025" w:rsidRPr="002469C0" w:rsidRDefault="00B50025" w:rsidP="0025041D">
            <w:pPr>
              <w:tabs>
                <w:tab w:val="left" w:pos="4500"/>
              </w:tabs>
              <w:rPr>
                <w:rFonts w:cs="Arial"/>
                <w:lang w:val="en-GB"/>
              </w:rPr>
            </w:pPr>
          </w:p>
        </w:tc>
        <w:tc>
          <w:tcPr>
            <w:tcW w:w="5297" w:type="dxa"/>
          </w:tcPr>
          <w:p w:rsidR="00B50025" w:rsidRPr="002469C0" w:rsidRDefault="00B50025" w:rsidP="0025041D">
            <w:pPr>
              <w:tabs>
                <w:tab w:val="left" w:pos="4500"/>
              </w:tabs>
              <w:rPr>
                <w:rFonts w:cs="Arial"/>
                <w:lang w:val="en-GB"/>
              </w:rPr>
            </w:pPr>
          </w:p>
        </w:tc>
      </w:tr>
    </w:tbl>
    <w:p w:rsidR="00350072" w:rsidRPr="002469C0" w:rsidRDefault="00350072" w:rsidP="0025041D">
      <w:pPr>
        <w:tabs>
          <w:tab w:val="left" w:pos="4500"/>
        </w:tabs>
        <w:jc w:val="center"/>
        <w:rPr>
          <w:rFonts w:cs="Arial"/>
          <w:szCs w:val="20"/>
        </w:rPr>
      </w:pPr>
    </w:p>
    <w:p w:rsidR="00350072" w:rsidRPr="002469C0" w:rsidRDefault="00350072" w:rsidP="0025041D">
      <w:pPr>
        <w:tabs>
          <w:tab w:val="left" w:pos="4500"/>
        </w:tabs>
        <w:jc w:val="center"/>
        <w:rPr>
          <w:rFonts w:cs="Arial"/>
          <w:szCs w:val="20"/>
        </w:rPr>
      </w:pPr>
      <w:r w:rsidRPr="002469C0">
        <w:rPr>
          <w:rFonts w:cs="Arial"/>
          <w:szCs w:val="20"/>
        </w:rPr>
        <w:t xml:space="preserve">Lehrstuhl für Deutsches und Europäisches Privatrecht sowie Internationales Privatrecht </w:t>
      </w:r>
    </w:p>
    <w:p w:rsidR="00350072" w:rsidRPr="002469C0" w:rsidRDefault="00350072" w:rsidP="0025041D">
      <w:pPr>
        <w:tabs>
          <w:tab w:val="left" w:pos="4500"/>
        </w:tabs>
        <w:jc w:val="center"/>
        <w:rPr>
          <w:rFonts w:cs="Arial"/>
          <w:szCs w:val="20"/>
        </w:rPr>
      </w:pPr>
      <w:r w:rsidRPr="002469C0">
        <w:rPr>
          <w:rFonts w:cs="Arial"/>
          <w:szCs w:val="20"/>
        </w:rPr>
        <w:t xml:space="preserve">Prof. Dr. Eva-Maria </w:t>
      </w:r>
      <w:proofErr w:type="spellStart"/>
      <w:r w:rsidRPr="002469C0">
        <w:rPr>
          <w:rFonts w:cs="Arial"/>
          <w:szCs w:val="20"/>
        </w:rPr>
        <w:t>Kieninger</w:t>
      </w:r>
      <w:proofErr w:type="spellEnd"/>
    </w:p>
    <w:p w:rsidR="00350072" w:rsidRPr="002469C0" w:rsidRDefault="00350072" w:rsidP="0025041D">
      <w:pPr>
        <w:tabs>
          <w:tab w:val="left" w:pos="4500"/>
        </w:tabs>
        <w:jc w:val="center"/>
        <w:rPr>
          <w:rFonts w:cs="Arial"/>
          <w:sz w:val="10"/>
          <w:szCs w:val="10"/>
        </w:rPr>
      </w:pPr>
    </w:p>
    <w:p w:rsidR="00350072" w:rsidRPr="002469C0" w:rsidRDefault="00350072" w:rsidP="0025041D">
      <w:pPr>
        <w:tabs>
          <w:tab w:val="left" w:pos="4500"/>
        </w:tabs>
        <w:jc w:val="center"/>
        <w:rPr>
          <w:rFonts w:cs="Arial"/>
          <w:sz w:val="18"/>
          <w:szCs w:val="18"/>
        </w:rPr>
      </w:pPr>
      <w:proofErr w:type="spellStart"/>
      <w:r w:rsidRPr="002469C0">
        <w:rPr>
          <w:rFonts w:cs="Arial"/>
          <w:sz w:val="18"/>
          <w:szCs w:val="18"/>
        </w:rPr>
        <w:t>Domerschulstraße</w:t>
      </w:r>
      <w:proofErr w:type="spellEnd"/>
      <w:r w:rsidRPr="002469C0">
        <w:rPr>
          <w:rFonts w:cs="Arial"/>
          <w:sz w:val="18"/>
          <w:szCs w:val="18"/>
        </w:rPr>
        <w:t xml:space="preserve"> 16 (Alte Universität) – 97070 Würzburg – Tel.: 0931 31-</w:t>
      </w:r>
      <w:r w:rsidR="00055D00" w:rsidRPr="002469C0">
        <w:rPr>
          <w:rFonts w:cs="Arial"/>
          <w:sz w:val="18"/>
          <w:szCs w:val="18"/>
        </w:rPr>
        <w:t>8</w:t>
      </w:r>
      <w:r w:rsidRPr="002469C0">
        <w:rPr>
          <w:rFonts w:cs="Arial"/>
          <w:sz w:val="18"/>
          <w:szCs w:val="18"/>
        </w:rPr>
        <w:t xml:space="preserve">2300 – </w:t>
      </w:r>
      <w:smartTag w:uri="urn:schemas-microsoft-com:office:smarttags" w:element="PersonName">
        <w:r w:rsidRPr="002469C0">
          <w:rPr>
            <w:rFonts w:cs="Arial"/>
            <w:sz w:val="18"/>
            <w:szCs w:val="18"/>
          </w:rPr>
          <w:t>L-IPR@jura.uni-wuerzburg.de</w:t>
        </w:r>
      </w:smartTag>
    </w:p>
    <w:p w:rsidR="0025041D" w:rsidRPr="00E52A57" w:rsidRDefault="0025041D" w:rsidP="0025041D">
      <w:pPr>
        <w:tabs>
          <w:tab w:val="left" w:pos="4500"/>
        </w:tabs>
        <w:jc w:val="center"/>
        <w:rPr>
          <w:rFonts w:cs="Arial"/>
          <w:sz w:val="24"/>
        </w:rPr>
      </w:pPr>
    </w:p>
    <w:p w:rsidR="00E52A57" w:rsidRPr="00E52A57" w:rsidRDefault="00E52A57" w:rsidP="00E52A57">
      <w:pPr>
        <w:tabs>
          <w:tab w:val="left" w:pos="4500"/>
        </w:tabs>
        <w:rPr>
          <w:sz w:val="24"/>
        </w:rPr>
        <w:sectPr w:rsidR="00E52A57" w:rsidRPr="00E52A57" w:rsidSect="00474ADA">
          <w:headerReference w:type="default" r:id="rId7"/>
          <w:headerReference w:type="first" r:id="rId8"/>
          <w:type w:val="continuous"/>
          <w:pgSz w:w="11906" w:h="16838" w:code="9"/>
          <w:pgMar w:top="680" w:right="1134" w:bottom="1134" w:left="1134" w:header="709" w:footer="709" w:gutter="0"/>
          <w:cols w:space="708"/>
          <w:titlePg/>
          <w:docGrid w:linePitch="360"/>
        </w:sectPr>
      </w:pPr>
    </w:p>
    <w:p w:rsidR="00831C9D" w:rsidRPr="00831C9D" w:rsidRDefault="00831C9D" w:rsidP="00831C9D">
      <w:pPr>
        <w:jc w:val="center"/>
        <w:rPr>
          <w:rFonts w:cs="Arial"/>
          <w:b/>
          <w:sz w:val="24"/>
        </w:rPr>
      </w:pPr>
      <w:r w:rsidRPr="00831C9D">
        <w:rPr>
          <w:rFonts w:cs="Arial"/>
          <w:b/>
          <w:sz w:val="24"/>
        </w:rPr>
        <w:t>Schwerpunktbereich 3 (neu): IPR und Rechtsvergleichung</w:t>
      </w:r>
    </w:p>
    <w:p w:rsidR="00831C9D" w:rsidRDefault="00831C9D" w:rsidP="00831C9D">
      <w:pPr>
        <w:rPr>
          <w:rFonts w:cs="Arial"/>
          <w:b/>
        </w:rPr>
      </w:pPr>
    </w:p>
    <w:p w:rsidR="00831C9D" w:rsidRPr="00831C9D" w:rsidRDefault="00831C9D" w:rsidP="00831C9D">
      <w:pPr>
        <w:rPr>
          <w:rFonts w:cs="Arial"/>
          <w:b/>
        </w:rPr>
      </w:pPr>
    </w:p>
    <w:p w:rsidR="00831C9D" w:rsidRPr="00831C9D" w:rsidRDefault="00831C9D" w:rsidP="00831C9D">
      <w:pPr>
        <w:rPr>
          <w:rFonts w:cs="Arial"/>
          <w:b/>
        </w:rPr>
      </w:pPr>
      <w:r w:rsidRPr="00831C9D">
        <w:rPr>
          <w:rFonts w:cs="Arial"/>
          <w:b/>
        </w:rPr>
        <w:t>I. Vorlesungen</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Internationales Privatrecht</w:t>
      </w:r>
      <w:r w:rsidRPr="00831C9D">
        <w:rPr>
          <w:rFonts w:ascii="Arial" w:hAnsi="Arial" w:cs="Arial"/>
        </w:rPr>
        <w:tab/>
      </w:r>
      <w:r w:rsidRPr="00831C9D">
        <w:rPr>
          <w:rFonts w:ascii="Arial" w:hAnsi="Arial" w:cs="Arial"/>
        </w:rPr>
        <w:tab/>
      </w:r>
      <w:r w:rsidRPr="00831C9D">
        <w:rPr>
          <w:rFonts w:ascii="Arial" w:hAnsi="Arial" w:cs="Arial"/>
        </w:rPr>
        <w:tab/>
        <w:t>4 SWS (</w:t>
      </w:r>
      <w:proofErr w:type="spellStart"/>
      <w:r w:rsidRPr="00831C9D">
        <w:rPr>
          <w:rFonts w:ascii="Arial" w:hAnsi="Arial" w:cs="Arial"/>
        </w:rPr>
        <w:t>SoSe</w:t>
      </w:r>
      <w:proofErr w:type="spellEnd"/>
      <w:r w:rsidRPr="00831C9D">
        <w:rPr>
          <w:rFonts w:ascii="Arial" w:hAnsi="Arial" w:cs="Arial"/>
        </w:rPr>
        <w:t>)</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Intern. Zivilverfahrensrecht</w:t>
      </w:r>
      <w:r w:rsidRPr="00831C9D">
        <w:rPr>
          <w:rFonts w:ascii="Arial" w:hAnsi="Arial" w:cs="Arial"/>
        </w:rPr>
        <w:tab/>
      </w:r>
      <w:r w:rsidRPr="00831C9D">
        <w:rPr>
          <w:rFonts w:ascii="Arial" w:hAnsi="Arial" w:cs="Arial"/>
        </w:rPr>
        <w:tab/>
      </w:r>
      <w:r w:rsidRPr="00831C9D">
        <w:rPr>
          <w:rFonts w:ascii="Arial" w:hAnsi="Arial" w:cs="Arial"/>
        </w:rPr>
        <w:tab/>
        <w:t>2 SWS (WS)</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Internationales Erb- und Familienrecht</w:t>
      </w:r>
      <w:r w:rsidRPr="00831C9D">
        <w:rPr>
          <w:rFonts w:ascii="Arial" w:hAnsi="Arial" w:cs="Arial"/>
        </w:rPr>
        <w:tab/>
        <w:t>2 SWS (WS)</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Rechtsvergleichung: Einführung</w:t>
      </w:r>
      <w:r w:rsidRPr="00831C9D">
        <w:rPr>
          <w:rFonts w:ascii="Arial" w:hAnsi="Arial" w:cs="Arial"/>
        </w:rPr>
        <w:tab/>
      </w:r>
      <w:r w:rsidRPr="00831C9D">
        <w:rPr>
          <w:rFonts w:ascii="Arial" w:hAnsi="Arial" w:cs="Arial"/>
        </w:rPr>
        <w:tab/>
        <w:t>2 SWS (</w:t>
      </w:r>
      <w:proofErr w:type="spellStart"/>
      <w:r w:rsidRPr="00831C9D">
        <w:rPr>
          <w:rFonts w:ascii="Arial" w:hAnsi="Arial" w:cs="Arial"/>
        </w:rPr>
        <w:t>SoSe</w:t>
      </w:r>
      <w:proofErr w:type="spellEnd"/>
      <w:r w:rsidRPr="00831C9D">
        <w:rPr>
          <w:rFonts w:ascii="Arial" w:hAnsi="Arial" w:cs="Arial"/>
        </w:rPr>
        <w:t>)</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Rechtsvergleichung: Vertiefung</w:t>
      </w:r>
      <w:r w:rsidRPr="00831C9D">
        <w:rPr>
          <w:rFonts w:ascii="Arial" w:hAnsi="Arial" w:cs="Arial"/>
        </w:rPr>
        <w:tab/>
      </w:r>
      <w:r w:rsidRPr="00831C9D">
        <w:rPr>
          <w:rFonts w:ascii="Arial" w:hAnsi="Arial" w:cs="Arial"/>
        </w:rPr>
        <w:tab/>
        <w:t>2 SWS (WS)</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Plus Seminar und Examinatorium</w:t>
      </w:r>
      <w:r w:rsidRPr="00831C9D">
        <w:rPr>
          <w:rFonts w:ascii="Arial" w:hAnsi="Arial" w:cs="Arial"/>
        </w:rPr>
        <w:tab/>
      </w:r>
      <w:r w:rsidRPr="00831C9D">
        <w:rPr>
          <w:rFonts w:ascii="Arial" w:hAnsi="Arial" w:cs="Arial"/>
        </w:rPr>
        <w:tab/>
        <w:t xml:space="preserve">je 2 SWS </w:t>
      </w:r>
    </w:p>
    <w:p w:rsidR="00831C9D" w:rsidRPr="00831C9D" w:rsidRDefault="00831C9D" w:rsidP="00831C9D">
      <w:pPr>
        <w:pStyle w:val="Listenabsatz"/>
        <w:numPr>
          <w:ilvl w:val="0"/>
          <w:numId w:val="1"/>
        </w:numPr>
        <w:spacing w:line="240" w:lineRule="auto"/>
        <w:rPr>
          <w:rFonts w:ascii="Arial" w:hAnsi="Arial" w:cs="Arial"/>
        </w:rPr>
      </w:pPr>
      <w:r w:rsidRPr="00831C9D">
        <w:rPr>
          <w:rFonts w:ascii="Arial" w:hAnsi="Arial" w:cs="Arial"/>
        </w:rPr>
        <w:t>Optional Vorbereitungsseminar für die Studienarbeit</w:t>
      </w:r>
    </w:p>
    <w:p w:rsidR="00831C9D" w:rsidRPr="00831C9D" w:rsidRDefault="00831C9D" w:rsidP="00831C9D">
      <w:pPr>
        <w:rPr>
          <w:rFonts w:cs="Arial"/>
        </w:rPr>
      </w:pPr>
    </w:p>
    <w:p w:rsidR="00831C9D" w:rsidRDefault="00831C9D" w:rsidP="00831C9D">
      <w:pPr>
        <w:rPr>
          <w:rFonts w:cs="Arial"/>
          <w:b/>
        </w:rPr>
      </w:pPr>
      <w:r w:rsidRPr="00831C9D">
        <w:rPr>
          <w:rFonts w:cs="Arial"/>
          <w:b/>
        </w:rPr>
        <w:t>II. Um was geht es?</w:t>
      </w:r>
    </w:p>
    <w:p w:rsidR="00831C9D" w:rsidRDefault="00831C9D" w:rsidP="00831C9D">
      <w:pPr>
        <w:rPr>
          <w:rFonts w:cs="Arial"/>
        </w:rPr>
      </w:pPr>
      <w:r w:rsidRPr="00831C9D">
        <w:rPr>
          <w:rFonts w:cs="Arial"/>
        </w:rPr>
        <w:t>Zwei Beispiele aus neuester Zeit:</w:t>
      </w:r>
    </w:p>
    <w:p w:rsidR="006A6868" w:rsidRPr="00831C9D" w:rsidRDefault="006A6868" w:rsidP="00831C9D">
      <w:pPr>
        <w:rPr>
          <w:rFonts w:cs="Arial"/>
        </w:rPr>
      </w:pPr>
    </w:p>
    <w:p w:rsidR="00831C9D" w:rsidRDefault="00831C9D" w:rsidP="00831C9D">
      <w:pPr>
        <w:rPr>
          <w:rFonts w:cs="Arial"/>
        </w:rPr>
      </w:pPr>
      <w:r w:rsidRPr="00831C9D">
        <w:rPr>
          <w:rFonts w:cs="Arial"/>
        </w:rPr>
        <w:t>1. Amazon verwendet in seinen AGB eine Rechtswahlklausel: Anwendbar ist luxemburgisches Recht.</w:t>
      </w:r>
      <w:r w:rsidRPr="00831C9D">
        <w:rPr>
          <w:rFonts w:cs="Arial"/>
        </w:rPr>
        <w:br/>
        <w:t xml:space="preserve">Ist das zulässig? Kann Amazon auch eine </w:t>
      </w:r>
      <w:proofErr w:type="spellStart"/>
      <w:r w:rsidRPr="00831C9D">
        <w:rPr>
          <w:rFonts w:cs="Arial"/>
        </w:rPr>
        <w:t>Gerichtsstandsvereinbarung</w:t>
      </w:r>
      <w:proofErr w:type="spellEnd"/>
      <w:r w:rsidRPr="00831C9D">
        <w:rPr>
          <w:rFonts w:cs="Arial"/>
        </w:rPr>
        <w:t xml:space="preserve"> mit der ausschließlichen Zuständigkeit der luxemburgischen Gerichte in seine AGB stellen?</w:t>
      </w:r>
    </w:p>
    <w:p w:rsidR="00831C9D" w:rsidRPr="00831C9D" w:rsidRDefault="00831C9D" w:rsidP="00831C9D">
      <w:pPr>
        <w:rPr>
          <w:rFonts w:cs="Arial"/>
        </w:rPr>
      </w:pPr>
    </w:p>
    <w:p w:rsidR="00831C9D" w:rsidRDefault="00831C9D" w:rsidP="00831C9D">
      <w:pPr>
        <w:rPr>
          <w:rFonts w:cs="Arial"/>
        </w:rPr>
      </w:pPr>
      <w:r w:rsidRPr="00831C9D">
        <w:rPr>
          <w:rFonts w:cs="Arial"/>
        </w:rPr>
        <w:t>2. Ein Syrer „verstößt“ seine syrische Ehefrau und lässt dies durch ein geistliches Gericht in Syrien protokollieren. Sind die Eheleute auch aus Sicht des deutschen Rechts geschieden? Erkennen wir Privatscheidungen an? Widerspricht die einseitige Möglichkeit für den Mann, nach islamischem Recht, die Ehefrau zu verstoßen, unseren rechtsstaatlichen Grundsätzen?</w:t>
      </w:r>
    </w:p>
    <w:p w:rsidR="006A6868" w:rsidRPr="00831C9D" w:rsidRDefault="006A6868" w:rsidP="00831C9D">
      <w:pPr>
        <w:rPr>
          <w:rFonts w:cs="Arial"/>
        </w:rPr>
      </w:pPr>
    </w:p>
    <w:p w:rsidR="00831C9D" w:rsidRPr="00831C9D" w:rsidRDefault="00831C9D" w:rsidP="00831C9D">
      <w:pPr>
        <w:pStyle w:val="Listenabsatz"/>
        <w:numPr>
          <w:ilvl w:val="0"/>
          <w:numId w:val="3"/>
        </w:numPr>
        <w:spacing w:line="240" w:lineRule="auto"/>
        <w:rPr>
          <w:rFonts w:ascii="Arial" w:hAnsi="Arial" w:cs="Arial"/>
        </w:rPr>
      </w:pPr>
      <w:r w:rsidRPr="00831C9D">
        <w:rPr>
          <w:rFonts w:ascii="Arial" w:hAnsi="Arial" w:cs="Arial"/>
        </w:rPr>
        <w:t>IZVR: Welches Gericht ist zuständig? Werden ausl</w:t>
      </w:r>
      <w:r w:rsidR="006A6868">
        <w:rPr>
          <w:rFonts w:ascii="Arial" w:hAnsi="Arial" w:cs="Arial"/>
        </w:rPr>
        <w:t>ändische Urteile in Zivilsachen</w:t>
      </w:r>
      <w:r w:rsidRPr="00831C9D">
        <w:rPr>
          <w:rFonts w:ascii="Arial" w:hAnsi="Arial" w:cs="Arial"/>
        </w:rPr>
        <w:t xml:space="preserve"> im Inland anerkannt und vollstreckt?</w:t>
      </w:r>
    </w:p>
    <w:p w:rsidR="00831C9D" w:rsidRPr="00831C9D" w:rsidRDefault="00831C9D" w:rsidP="00831C9D">
      <w:pPr>
        <w:pStyle w:val="Listenabsatz"/>
        <w:numPr>
          <w:ilvl w:val="0"/>
          <w:numId w:val="3"/>
        </w:numPr>
        <w:spacing w:line="240" w:lineRule="auto"/>
        <w:rPr>
          <w:rFonts w:ascii="Arial" w:hAnsi="Arial" w:cs="Arial"/>
        </w:rPr>
      </w:pPr>
      <w:r w:rsidRPr="00831C9D">
        <w:rPr>
          <w:rFonts w:ascii="Arial" w:hAnsi="Arial" w:cs="Arial"/>
        </w:rPr>
        <w:t>IPR: Welches Recht ist bei grenzüberschreitenden Sachverhalten anwendbar (Vertragsrecht, Deliktsrecht, Sachenrecht, Familienrecht. Erbrecht)?</w:t>
      </w:r>
    </w:p>
    <w:p w:rsidR="00831C9D" w:rsidRPr="00831C9D" w:rsidRDefault="00831C9D" w:rsidP="00831C9D">
      <w:pPr>
        <w:pStyle w:val="Listenabsatz"/>
        <w:numPr>
          <w:ilvl w:val="0"/>
          <w:numId w:val="3"/>
        </w:numPr>
        <w:spacing w:line="240" w:lineRule="auto"/>
        <w:rPr>
          <w:rFonts w:ascii="Arial" w:hAnsi="Arial" w:cs="Arial"/>
        </w:rPr>
      </w:pPr>
      <w:r w:rsidRPr="00831C9D">
        <w:rPr>
          <w:rFonts w:ascii="Arial" w:hAnsi="Arial" w:cs="Arial"/>
        </w:rPr>
        <w:t xml:space="preserve">Rechtsvergleichung: Wie haben sich die verschiedenen Privatrechtsordnungen entwickelt (teilweise aus gemeinsamen Wurzeln)? Wo sind Unterschiede zum deutschen Recht, wo Gemeinsamkeiten? </w:t>
      </w:r>
    </w:p>
    <w:p w:rsidR="00831C9D" w:rsidRPr="00831C9D" w:rsidRDefault="00831C9D" w:rsidP="00831C9D">
      <w:pPr>
        <w:rPr>
          <w:rFonts w:cs="Arial"/>
          <w:b/>
        </w:rPr>
      </w:pPr>
      <w:r w:rsidRPr="00831C9D">
        <w:rPr>
          <w:rFonts w:cs="Arial"/>
          <w:b/>
        </w:rPr>
        <w:t>III. Vorteile</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Interessante, zukunftsträchtige und praxisrelevante Themen</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kleine Gruppen und individuelle Betreuung</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Vertiefung in Kernbereichen des Zivilrechts</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Deutsches Zivilrecht aus einer neuen Perspektive</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Alle Vorlesungen werden jedes Jahr angeboten</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Propädeutisches Seminar zur Vorbereitung auf die Studienarbeit möglich</w:t>
      </w:r>
    </w:p>
    <w:p w:rsidR="00831C9D" w:rsidRPr="00831C9D" w:rsidRDefault="00831C9D" w:rsidP="00831C9D">
      <w:pPr>
        <w:pStyle w:val="Listenabsatz"/>
        <w:numPr>
          <w:ilvl w:val="0"/>
          <w:numId w:val="2"/>
        </w:numPr>
        <w:spacing w:line="240" w:lineRule="auto"/>
        <w:rPr>
          <w:rFonts w:ascii="Arial" w:hAnsi="Arial" w:cs="Arial"/>
        </w:rPr>
      </w:pPr>
      <w:r w:rsidRPr="00831C9D">
        <w:rPr>
          <w:rFonts w:ascii="Arial" w:hAnsi="Arial" w:cs="Arial"/>
        </w:rPr>
        <w:t xml:space="preserve">Platz im Schwerpunkt garantiert. </w:t>
      </w:r>
    </w:p>
    <w:p w:rsidR="00831C9D" w:rsidRDefault="00831C9D" w:rsidP="00831C9D">
      <w:pPr>
        <w:rPr>
          <w:rFonts w:cs="Arial"/>
        </w:rPr>
      </w:pPr>
    </w:p>
    <w:p w:rsidR="000D0CB8" w:rsidRPr="00831C9D" w:rsidRDefault="000D0CB8" w:rsidP="00831C9D">
      <w:pPr>
        <w:rPr>
          <w:rFonts w:cs="Arial"/>
        </w:rPr>
      </w:pPr>
    </w:p>
    <w:p w:rsidR="006A6868" w:rsidRPr="006A6868" w:rsidRDefault="00831C9D" w:rsidP="006A6868">
      <w:pPr>
        <w:jc w:val="both"/>
        <w:rPr>
          <w:rFonts w:cs="Arial"/>
          <w:i/>
        </w:rPr>
      </w:pPr>
      <w:r w:rsidRPr="006A6868">
        <w:rPr>
          <w:rFonts w:cs="Arial"/>
          <w:i/>
        </w:rPr>
        <w:t xml:space="preserve">+++ neu +++ </w:t>
      </w:r>
      <w:r w:rsidR="006A6868" w:rsidRPr="006A6868">
        <w:rPr>
          <w:rFonts w:cs="Arial"/>
          <w:i/>
        </w:rPr>
        <w:t>neu +++</w:t>
      </w:r>
      <w:r w:rsidR="006A6868" w:rsidRPr="006A6868">
        <w:rPr>
          <w:rFonts w:cs="Arial"/>
          <w:i/>
        </w:rPr>
        <w:t xml:space="preserve"> </w:t>
      </w:r>
      <w:r w:rsidR="006A6868" w:rsidRPr="006A6868">
        <w:rPr>
          <w:rFonts w:cs="Arial"/>
          <w:i/>
        </w:rPr>
        <w:t>neu +++</w:t>
      </w:r>
      <w:r w:rsidR="006A6868" w:rsidRPr="006A6868">
        <w:rPr>
          <w:rFonts w:cs="Arial"/>
          <w:i/>
        </w:rPr>
        <w:t xml:space="preserve"> </w:t>
      </w:r>
      <w:r w:rsidR="006A6868" w:rsidRPr="006A6868">
        <w:rPr>
          <w:rFonts w:cs="Arial"/>
          <w:i/>
        </w:rPr>
        <w:t>neu +++</w:t>
      </w:r>
      <w:r w:rsidR="006A6868" w:rsidRPr="006A6868">
        <w:rPr>
          <w:rFonts w:cs="Arial"/>
          <w:i/>
        </w:rPr>
        <w:t xml:space="preserve"> </w:t>
      </w:r>
      <w:r w:rsidR="006A6868" w:rsidRPr="006A6868">
        <w:rPr>
          <w:rFonts w:cs="Arial"/>
          <w:i/>
        </w:rPr>
        <w:t>neu +++</w:t>
      </w:r>
      <w:r w:rsidR="006A6868" w:rsidRPr="006A6868">
        <w:rPr>
          <w:rFonts w:cs="Arial"/>
          <w:i/>
        </w:rPr>
        <w:t xml:space="preserve"> </w:t>
      </w:r>
      <w:r w:rsidR="006A6868" w:rsidRPr="006A6868">
        <w:rPr>
          <w:rFonts w:cs="Arial"/>
          <w:i/>
        </w:rPr>
        <w:t>neu +++ neu +++ neu +++ neu +++ neu +++ neu +++ neu +++</w:t>
      </w:r>
    </w:p>
    <w:p w:rsidR="006A6868" w:rsidRPr="006A6868" w:rsidRDefault="006A6868" w:rsidP="006A6868">
      <w:pPr>
        <w:jc w:val="both"/>
        <w:rPr>
          <w:rFonts w:cs="Arial"/>
          <w:i/>
        </w:rPr>
      </w:pPr>
    </w:p>
    <w:p w:rsidR="00E52A57" w:rsidRPr="006A6868" w:rsidRDefault="00831C9D" w:rsidP="006A6868">
      <w:pPr>
        <w:jc w:val="center"/>
        <w:rPr>
          <w:rFonts w:cs="Arial"/>
          <w:b/>
        </w:rPr>
      </w:pPr>
      <w:r w:rsidRPr="006A6868">
        <w:rPr>
          <w:rFonts w:cs="Arial"/>
          <w:b/>
        </w:rPr>
        <w:t xml:space="preserve">Schnuppervorlesung zum IPR und IZVR am </w:t>
      </w:r>
      <w:r w:rsidR="006A6868" w:rsidRPr="006A6868">
        <w:rPr>
          <w:rFonts w:cs="Arial"/>
          <w:b/>
        </w:rPr>
        <w:t>Montag, 04.</w:t>
      </w:r>
      <w:r w:rsidR="006A6868">
        <w:rPr>
          <w:rFonts w:cs="Arial"/>
          <w:b/>
        </w:rPr>
        <w:t>02.</w:t>
      </w:r>
      <w:r w:rsidR="006A6868" w:rsidRPr="006A6868">
        <w:rPr>
          <w:rFonts w:cs="Arial"/>
          <w:b/>
        </w:rPr>
        <w:t>2019, 10</w:t>
      </w:r>
      <w:bookmarkStart w:id="0" w:name="_GoBack"/>
      <w:bookmarkEnd w:id="0"/>
      <w:r w:rsidR="006A6868" w:rsidRPr="006A6868">
        <w:rPr>
          <w:rFonts w:cs="Arial"/>
          <w:b/>
        </w:rPr>
        <w:t xml:space="preserve">-12 h, </w:t>
      </w:r>
      <w:r w:rsidRPr="006A6868">
        <w:rPr>
          <w:rFonts w:cs="Arial"/>
          <w:b/>
        </w:rPr>
        <w:t xml:space="preserve">HS </w:t>
      </w:r>
      <w:r w:rsidR="006A6868" w:rsidRPr="006A6868">
        <w:rPr>
          <w:rFonts w:cs="Arial"/>
          <w:b/>
        </w:rPr>
        <w:t>315 (Neue Universität)</w:t>
      </w:r>
    </w:p>
    <w:p w:rsidR="006A6868" w:rsidRDefault="006A6868" w:rsidP="00831C9D">
      <w:pPr>
        <w:jc w:val="both"/>
        <w:rPr>
          <w:rFonts w:cs="Arial"/>
        </w:rPr>
      </w:pPr>
    </w:p>
    <w:p w:rsidR="006A6868" w:rsidRPr="006A6868" w:rsidRDefault="006A6868" w:rsidP="00831C9D">
      <w:pPr>
        <w:jc w:val="both"/>
        <w:rPr>
          <w:rFonts w:cs="Arial"/>
          <w:i/>
        </w:rPr>
      </w:pPr>
      <w:r w:rsidRPr="006A6868">
        <w:rPr>
          <w:rFonts w:cs="Arial"/>
          <w:i/>
        </w:rPr>
        <w:t>+++ neu +++ neu +++ neu +++ neu +++ neu +++ neu +++ neu +++ neu +++ neu +++ neu +++ neu +++ neu +++</w:t>
      </w:r>
    </w:p>
    <w:sectPr w:rsidR="006A6868" w:rsidRPr="006A6868" w:rsidSect="00CF11D5">
      <w:headerReference w:type="even" r:id="rId9"/>
      <w:headerReference w:type="default" r:id="rId10"/>
      <w:footerReference w:type="even" r:id="rId11"/>
      <w:headerReference w:type="first" r:id="rId12"/>
      <w:type w:val="continuous"/>
      <w:pgSz w:w="11906" w:h="16838" w:code="9"/>
      <w:pgMar w:top="680" w:right="992" w:bottom="1134" w:left="992"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AE1" w:rsidRDefault="00E95AE1">
      <w:r>
        <w:separator/>
      </w:r>
    </w:p>
  </w:endnote>
  <w:endnote w:type="continuationSeparator" w:id="0">
    <w:p w:rsidR="00E95AE1" w:rsidRDefault="00E9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072" w:rsidRDefault="00350072" w:rsidP="000E68B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350072" w:rsidRDefault="003500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AE1" w:rsidRDefault="00E95AE1">
      <w:r>
        <w:separator/>
      </w:r>
    </w:p>
  </w:footnote>
  <w:footnote w:type="continuationSeparator" w:id="0">
    <w:p w:rsidR="00E95AE1" w:rsidRDefault="00E9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57" w:rsidRPr="00ED5D3A" w:rsidRDefault="00E52A57" w:rsidP="00ED5D3A">
    <w:pPr>
      <w:pStyle w:val="Kopfzeile"/>
      <w:jc w:val="center"/>
    </w:pPr>
    <w:r>
      <w:rPr>
        <w:rStyle w:val="Seitenzahl"/>
      </w:rPr>
      <w:fldChar w:fldCharType="begin"/>
    </w:r>
    <w:r>
      <w:rPr>
        <w:rStyle w:val="Seitenzahl"/>
      </w:rPr>
      <w:instrText xml:space="preserve"> NUMPAGES </w:instrText>
    </w:r>
    <w:r>
      <w:rPr>
        <w:rStyle w:val="Seitenzahl"/>
      </w:rPr>
      <w:fldChar w:fldCharType="separate"/>
    </w:r>
    <w:r w:rsidR="00BB21D3">
      <w:rPr>
        <w:rStyle w:val="Seitenzahl"/>
        <w:noProof/>
      </w:rPr>
      <w:t>1</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57" w:rsidRDefault="00E52A57">
    <w:pPr>
      <w:pStyle w:val="Kopfzeile"/>
    </w:pPr>
    <w:r>
      <w:rPr>
        <w:noProof/>
      </w:rPr>
      <mc:AlternateContent>
        <mc:Choice Requires="wps">
          <w:drawing>
            <wp:anchor distT="0" distB="0" distL="114300" distR="114300" simplePos="0" relativeHeight="251660800" behindDoc="0" locked="0" layoutInCell="1" allowOverlap="1" wp14:anchorId="7BE6B5D9" wp14:editId="5CDB3B78">
              <wp:simplePos x="0" y="0"/>
              <wp:positionH relativeFrom="column">
                <wp:posOffset>-914400</wp:posOffset>
              </wp:positionH>
              <wp:positionV relativeFrom="page">
                <wp:posOffset>1800225</wp:posOffset>
              </wp:positionV>
              <wp:extent cx="344805" cy="114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A57" w:rsidRPr="00E66A85" w:rsidRDefault="00E52A57" w:rsidP="00976861">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B5D9" id="_x0000_t202" coordsize="21600,21600" o:spt="202" path="m,l,21600r21600,l21600,xe">
              <v:stroke joinstyle="miter"/>
              <v:path gradientshapeok="t" o:connecttype="rect"/>
            </v:shapetype>
            <v:shape id="Text Box 2" o:spid="_x0000_s1026" type="#_x0000_t202" style="position:absolute;margin-left:-1in;margin-top:141.75pt;width:27.15pt;height:9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zPrAIAAKY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" filled="f" stroked="f">
              <v:textbox inset="0,0,0,0">
                <w:txbxContent>
                  <w:p w:rsidR="00E52A57" w:rsidRPr="00E66A85" w:rsidRDefault="00E52A57" w:rsidP="00976861">
                    <w:pPr>
                      <w:pStyle w:val="Kopfzeile"/>
                      <w:rPr>
                        <w:noProof/>
                        <w:vanish/>
                        <w:sz w:val="16"/>
                        <w:szCs w:val="16"/>
                      </w:rPr>
                    </w:pPr>
                    <w:r w:rsidRPr="00E66A85">
                      <w:rPr>
                        <w:noProof/>
                        <w:vanish/>
                        <w:sz w:val="16"/>
                        <w:szCs w:val="16"/>
                      </w:rPr>
                      <w:t>Fenster</w:t>
                    </w:r>
                  </w:p>
                </w:txbxContent>
              </v:textbox>
              <w10:wrap type="square" anchory="page"/>
            </v:shape>
          </w:pict>
        </mc:Fallback>
      </mc:AlternateContent>
    </w:r>
    <w:r>
      <w:rPr>
        <w:noProof/>
      </w:rPr>
      <w:drawing>
        <wp:anchor distT="0" distB="0" distL="114300" distR="114300" simplePos="0" relativeHeight="251659776" behindDoc="1" locked="1" layoutInCell="1" allowOverlap="0" wp14:anchorId="61854B53" wp14:editId="51A79C19">
          <wp:simplePos x="0" y="0"/>
          <wp:positionH relativeFrom="column">
            <wp:align>left</wp:align>
          </wp:positionH>
          <wp:positionV relativeFrom="page">
            <wp:posOffset>431800</wp:posOffset>
          </wp:positionV>
          <wp:extent cx="6285865" cy="899795"/>
          <wp:effectExtent l="0" t="0" r="635" b="0"/>
          <wp:wrapNone/>
          <wp:docPr id="5"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A7" w:rsidRDefault="005C11A7" w:rsidP="00E849F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C11A7" w:rsidRDefault="005C11A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A7" w:rsidRPr="00E52A57" w:rsidRDefault="00D10336" w:rsidP="007A76D4">
    <w:pPr>
      <w:pStyle w:val="Kopfzeile"/>
      <w:spacing w:after="480"/>
      <w:jc w:val="center"/>
      <w:rPr>
        <w:rFonts w:cs="Arial"/>
        <w:sz w:val="22"/>
        <w:szCs w:val="22"/>
      </w:rPr>
    </w:pPr>
    <w:r w:rsidRPr="00E52A57">
      <w:rPr>
        <w:rStyle w:val="Seitenzahl"/>
        <w:rFonts w:cs="Arial"/>
        <w:sz w:val="22"/>
        <w:szCs w:val="22"/>
      </w:rPr>
      <w:t xml:space="preserve">- </w:t>
    </w:r>
    <w:r w:rsidR="00335306" w:rsidRPr="00E52A57">
      <w:rPr>
        <w:rStyle w:val="Seitenzahl"/>
        <w:rFonts w:cs="Arial"/>
        <w:sz w:val="22"/>
        <w:szCs w:val="22"/>
      </w:rPr>
      <w:fldChar w:fldCharType="begin"/>
    </w:r>
    <w:r w:rsidR="00335306" w:rsidRPr="00E52A57">
      <w:rPr>
        <w:rStyle w:val="Seitenzahl"/>
        <w:rFonts w:cs="Arial"/>
        <w:sz w:val="22"/>
        <w:szCs w:val="22"/>
      </w:rPr>
      <w:instrText xml:space="preserve"> PAGE </w:instrText>
    </w:r>
    <w:r w:rsidR="00335306" w:rsidRPr="00E52A57">
      <w:rPr>
        <w:rStyle w:val="Seitenzahl"/>
        <w:rFonts w:cs="Arial"/>
        <w:sz w:val="22"/>
        <w:szCs w:val="22"/>
      </w:rPr>
      <w:fldChar w:fldCharType="separate"/>
    </w:r>
    <w:r w:rsidR="00CF11D5">
      <w:rPr>
        <w:rStyle w:val="Seitenzahl"/>
        <w:rFonts w:cs="Arial"/>
        <w:noProof/>
        <w:sz w:val="22"/>
        <w:szCs w:val="22"/>
      </w:rPr>
      <w:t>2</w:t>
    </w:r>
    <w:r w:rsidR="00335306" w:rsidRPr="00E52A57">
      <w:rPr>
        <w:rStyle w:val="Seitenzahl"/>
        <w:rFonts w:cs="Arial"/>
        <w:sz w:val="22"/>
        <w:szCs w:val="22"/>
      </w:rPr>
      <w:fldChar w:fldCharType="end"/>
    </w:r>
    <w:r w:rsidRPr="00E52A57">
      <w:rPr>
        <w:rStyle w:val="Seitenzahl"/>
        <w:rFonts w:cs="Arial"/>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A9" w:rsidRDefault="008F1CCF">
    <w:pPr>
      <w:pStyle w:val="Kopfzeile"/>
    </w:pPr>
    <w:r>
      <w:rPr>
        <w:noProof/>
      </w:rPr>
      <w:drawing>
        <wp:anchor distT="0" distB="0" distL="114300" distR="114300" simplePos="0" relativeHeight="251657728" behindDoc="1" locked="1" layoutInCell="1" allowOverlap="0" wp14:anchorId="11198FD3" wp14:editId="1CAF52EB">
          <wp:simplePos x="0" y="0"/>
          <wp:positionH relativeFrom="column">
            <wp:posOffset>0</wp:posOffset>
          </wp:positionH>
          <wp:positionV relativeFrom="page">
            <wp:posOffset>431800</wp:posOffset>
          </wp:positionV>
          <wp:extent cx="6285865" cy="899795"/>
          <wp:effectExtent l="0" t="0" r="635" b="0"/>
          <wp:wrapNone/>
          <wp:docPr id="4"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1E31"/>
    <w:multiLevelType w:val="hybridMultilevel"/>
    <w:tmpl w:val="DD104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401CE6"/>
    <w:multiLevelType w:val="hybridMultilevel"/>
    <w:tmpl w:val="BDDE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CA74B2"/>
    <w:multiLevelType w:val="hybridMultilevel"/>
    <w:tmpl w:val="27543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9D"/>
    <w:rsid w:val="0000145A"/>
    <w:rsid w:val="00055D00"/>
    <w:rsid w:val="00057D03"/>
    <w:rsid w:val="00093B59"/>
    <w:rsid w:val="000C6B55"/>
    <w:rsid w:val="000D0CB8"/>
    <w:rsid w:val="000E27A0"/>
    <w:rsid w:val="000E68B7"/>
    <w:rsid w:val="00127CDC"/>
    <w:rsid w:val="001469B8"/>
    <w:rsid w:val="00166D76"/>
    <w:rsid w:val="0016738E"/>
    <w:rsid w:val="00177FA8"/>
    <w:rsid w:val="00185F00"/>
    <w:rsid w:val="00185FF0"/>
    <w:rsid w:val="0019749C"/>
    <w:rsid w:val="001A1052"/>
    <w:rsid w:val="001A5C92"/>
    <w:rsid w:val="001E002D"/>
    <w:rsid w:val="001F6321"/>
    <w:rsid w:val="001F728A"/>
    <w:rsid w:val="00217B6B"/>
    <w:rsid w:val="002221B7"/>
    <w:rsid w:val="00222D5C"/>
    <w:rsid w:val="00241309"/>
    <w:rsid w:val="002469C0"/>
    <w:rsid w:val="0025041D"/>
    <w:rsid w:val="002B5209"/>
    <w:rsid w:val="002C1EFB"/>
    <w:rsid w:val="0030321E"/>
    <w:rsid w:val="00306DA9"/>
    <w:rsid w:val="00312BEC"/>
    <w:rsid w:val="00335306"/>
    <w:rsid w:val="0034087F"/>
    <w:rsid w:val="00350072"/>
    <w:rsid w:val="00380146"/>
    <w:rsid w:val="003C61BD"/>
    <w:rsid w:val="003D73CB"/>
    <w:rsid w:val="0041066F"/>
    <w:rsid w:val="0041679F"/>
    <w:rsid w:val="00471371"/>
    <w:rsid w:val="00474ADA"/>
    <w:rsid w:val="00477CA1"/>
    <w:rsid w:val="0049527F"/>
    <w:rsid w:val="004F6771"/>
    <w:rsid w:val="00503F80"/>
    <w:rsid w:val="00504063"/>
    <w:rsid w:val="00524639"/>
    <w:rsid w:val="00525F3C"/>
    <w:rsid w:val="00537CFC"/>
    <w:rsid w:val="0054532B"/>
    <w:rsid w:val="00550722"/>
    <w:rsid w:val="005675D9"/>
    <w:rsid w:val="00571AA2"/>
    <w:rsid w:val="00571EB9"/>
    <w:rsid w:val="00574449"/>
    <w:rsid w:val="005C11A7"/>
    <w:rsid w:val="005F27FE"/>
    <w:rsid w:val="005F4ED8"/>
    <w:rsid w:val="005F754C"/>
    <w:rsid w:val="00612E74"/>
    <w:rsid w:val="006162AB"/>
    <w:rsid w:val="00630B28"/>
    <w:rsid w:val="0063603E"/>
    <w:rsid w:val="006369B5"/>
    <w:rsid w:val="0064761D"/>
    <w:rsid w:val="00647E4F"/>
    <w:rsid w:val="00651AD6"/>
    <w:rsid w:val="00662826"/>
    <w:rsid w:val="00686C9E"/>
    <w:rsid w:val="0069732C"/>
    <w:rsid w:val="006A6868"/>
    <w:rsid w:val="006A6F36"/>
    <w:rsid w:val="006B254A"/>
    <w:rsid w:val="006B3D16"/>
    <w:rsid w:val="006D5692"/>
    <w:rsid w:val="0070277E"/>
    <w:rsid w:val="00705418"/>
    <w:rsid w:val="00740E82"/>
    <w:rsid w:val="00741361"/>
    <w:rsid w:val="00776AF7"/>
    <w:rsid w:val="00790BF1"/>
    <w:rsid w:val="0079691A"/>
    <w:rsid w:val="007A76D4"/>
    <w:rsid w:val="007C1170"/>
    <w:rsid w:val="007D329F"/>
    <w:rsid w:val="007D33E7"/>
    <w:rsid w:val="007D732F"/>
    <w:rsid w:val="007F0689"/>
    <w:rsid w:val="007F3D4F"/>
    <w:rsid w:val="0080051D"/>
    <w:rsid w:val="008116D1"/>
    <w:rsid w:val="00816F2A"/>
    <w:rsid w:val="00831C9D"/>
    <w:rsid w:val="00851F8E"/>
    <w:rsid w:val="0087146E"/>
    <w:rsid w:val="0089512D"/>
    <w:rsid w:val="008A5D00"/>
    <w:rsid w:val="008B6EF9"/>
    <w:rsid w:val="008B70D3"/>
    <w:rsid w:val="008C7390"/>
    <w:rsid w:val="008D2C33"/>
    <w:rsid w:val="008D6DB8"/>
    <w:rsid w:val="008E6CCD"/>
    <w:rsid w:val="008E7631"/>
    <w:rsid w:val="008F17E3"/>
    <w:rsid w:val="008F1CCF"/>
    <w:rsid w:val="00901277"/>
    <w:rsid w:val="00913F60"/>
    <w:rsid w:val="00994E55"/>
    <w:rsid w:val="009B3433"/>
    <w:rsid w:val="009C22F6"/>
    <w:rsid w:val="009C3C46"/>
    <w:rsid w:val="009E402B"/>
    <w:rsid w:val="009F3598"/>
    <w:rsid w:val="00A17A7C"/>
    <w:rsid w:val="00A6474B"/>
    <w:rsid w:val="00A822F8"/>
    <w:rsid w:val="00A9328C"/>
    <w:rsid w:val="00B01DD3"/>
    <w:rsid w:val="00B13D59"/>
    <w:rsid w:val="00B50025"/>
    <w:rsid w:val="00B6292A"/>
    <w:rsid w:val="00B63411"/>
    <w:rsid w:val="00B95560"/>
    <w:rsid w:val="00BB0188"/>
    <w:rsid w:val="00BB21D3"/>
    <w:rsid w:val="00BB6252"/>
    <w:rsid w:val="00BC1C72"/>
    <w:rsid w:val="00BD1778"/>
    <w:rsid w:val="00BE7A3F"/>
    <w:rsid w:val="00BF53E6"/>
    <w:rsid w:val="00C34A32"/>
    <w:rsid w:val="00C50F0E"/>
    <w:rsid w:val="00C531CE"/>
    <w:rsid w:val="00C62D3E"/>
    <w:rsid w:val="00CA2532"/>
    <w:rsid w:val="00CA27AB"/>
    <w:rsid w:val="00CF11D5"/>
    <w:rsid w:val="00CF61E5"/>
    <w:rsid w:val="00D10336"/>
    <w:rsid w:val="00D10601"/>
    <w:rsid w:val="00D26C3C"/>
    <w:rsid w:val="00D5777D"/>
    <w:rsid w:val="00DA7D45"/>
    <w:rsid w:val="00DE4D2E"/>
    <w:rsid w:val="00DE7D82"/>
    <w:rsid w:val="00DF656B"/>
    <w:rsid w:val="00E03D30"/>
    <w:rsid w:val="00E420EB"/>
    <w:rsid w:val="00E52A57"/>
    <w:rsid w:val="00E660CD"/>
    <w:rsid w:val="00E66A85"/>
    <w:rsid w:val="00E76CBB"/>
    <w:rsid w:val="00E81C1B"/>
    <w:rsid w:val="00E849F1"/>
    <w:rsid w:val="00E8518B"/>
    <w:rsid w:val="00E9264C"/>
    <w:rsid w:val="00E95AE1"/>
    <w:rsid w:val="00EC309C"/>
    <w:rsid w:val="00EC34E5"/>
    <w:rsid w:val="00ED4E9C"/>
    <w:rsid w:val="00EE0289"/>
    <w:rsid w:val="00F3066E"/>
    <w:rsid w:val="00F5645F"/>
    <w:rsid w:val="00F62FB9"/>
    <w:rsid w:val="00F70E3C"/>
    <w:rsid w:val="00F8048D"/>
    <w:rsid w:val="00F974DC"/>
    <w:rsid w:val="00FA14AF"/>
    <w:rsid w:val="00FE2456"/>
    <w:rsid w:val="00FF0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5DA36D0"/>
  <w15:docId w15:val="{074E303C-9FFE-446D-8AB0-613EC202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styleId="Hyperlink">
    <w:name w:val="Hyperlink"/>
    <w:basedOn w:val="Absatz-Standardschriftart"/>
    <w:rsid w:val="00B01DD3"/>
    <w:rPr>
      <w:color w:val="0000FF"/>
      <w:u w:val="single"/>
    </w:rPr>
  </w:style>
  <w:style w:type="character" w:styleId="Seitenzahl">
    <w:name w:val="page number"/>
    <w:basedOn w:val="Absatz-Standardschriftart"/>
    <w:rsid w:val="00350072"/>
  </w:style>
  <w:style w:type="paragraph" w:styleId="Sprechblasentext">
    <w:name w:val="Balloon Text"/>
    <w:basedOn w:val="Standard"/>
    <w:link w:val="SprechblasentextZchn"/>
    <w:rsid w:val="008F1CCF"/>
    <w:rPr>
      <w:rFonts w:ascii="Tahoma" w:hAnsi="Tahoma" w:cs="Tahoma"/>
      <w:sz w:val="16"/>
      <w:szCs w:val="16"/>
    </w:rPr>
  </w:style>
  <w:style w:type="character" w:customStyle="1" w:styleId="SprechblasentextZchn">
    <w:name w:val="Sprechblasentext Zchn"/>
    <w:basedOn w:val="Absatz-Standardschriftart"/>
    <w:link w:val="Sprechblasentext"/>
    <w:rsid w:val="008F1CCF"/>
    <w:rPr>
      <w:rFonts w:ascii="Tahoma" w:hAnsi="Tahoma" w:cs="Tahoma"/>
      <w:sz w:val="16"/>
      <w:szCs w:val="16"/>
    </w:rPr>
  </w:style>
  <w:style w:type="character" w:customStyle="1" w:styleId="KopfzeileZchn">
    <w:name w:val="Kopfzeile Zchn"/>
    <w:basedOn w:val="Absatz-Standardschriftart"/>
    <w:link w:val="Kopfzeile"/>
    <w:uiPriority w:val="99"/>
    <w:rsid w:val="00E52A57"/>
    <w:rPr>
      <w:rFonts w:ascii="Arial" w:hAnsi="Arial"/>
      <w:szCs w:val="24"/>
    </w:rPr>
  </w:style>
  <w:style w:type="paragraph" w:styleId="Listenabsatz">
    <w:name w:val="List Paragraph"/>
    <w:basedOn w:val="Standard"/>
    <w:uiPriority w:val="34"/>
    <w:qFormat/>
    <w:rsid w:val="00831C9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ve007\Documents\Benutzerdefinierte%20Office-Vorlagen\Briefkopf%20Ausha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 Aushang</Template>
  <TotalTime>0</TotalTime>
  <Pages>1</Pages>
  <Words>332</Words>
  <Characters>2094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Heike Matthes</dc:creator>
  <cp:lastModifiedBy>Heike Matthes</cp:lastModifiedBy>
  <cp:revision>4</cp:revision>
  <cp:lastPrinted>2019-01-16T08:50:00Z</cp:lastPrinted>
  <dcterms:created xsi:type="dcterms:W3CDTF">2019-01-16T08:25:00Z</dcterms:created>
  <dcterms:modified xsi:type="dcterms:W3CDTF">2019-01-16T09:01:00Z</dcterms:modified>
</cp:coreProperties>
</file>