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9C6C" w14:textId="7784FD2A" w:rsidR="007C153B" w:rsidRDefault="007C153B" w:rsidP="007C153B">
      <w:pPr>
        <w:tabs>
          <w:tab w:val="right" w:pos="10065"/>
        </w:tabs>
        <w:jc w:val="both"/>
        <w:rPr>
          <w:b/>
          <w:spacing w:val="-3"/>
        </w:rPr>
      </w:pPr>
      <w:r>
        <w:rPr>
          <w:b/>
          <w:spacing w:val="-3"/>
        </w:rPr>
        <w:t xml:space="preserve">Prof. Dr. </w:t>
      </w:r>
      <w:r w:rsidR="009E7C4D">
        <w:rPr>
          <w:b/>
          <w:spacing w:val="-3"/>
        </w:rPr>
        <w:t xml:space="preserve">Dr. h.c. </w:t>
      </w:r>
      <w:r>
        <w:rPr>
          <w:b/>
          <w:spacing w:val="-3"/>
        </w:rPr>
        <w:t>Bernd Heinrich/</w:t>
      </w:r>
      <w:r w:rsidR="00EA6FA6">
        <w:rPr>
          <w:b/>
          <w:spacing w:val="-3"/>
        </w:rPr>
        <w:t xml:space="preserve">Prof. </w:t>
      </w:r>
      <w:r>
        <w:rPr>
          <w:b/>
          <w:spacing w:val="-3"/>
        </w:rPr>
        <w:t>Dr. Tobias Reinbacher</w:t>
      </w:r>
      <w:r>
        <w:rPr>
          <w:b/>
          <w:spacing w:val="-3"/>
        </w:rPr>
        <w:tab/>
        <w:t xml:space="preserve">Stand: 1. </w:t>
      </w:r>
      <w:r w:rsidR="00F665C1">
        <w:rPr>
          <w:b/>
          <w:spacing w:val="-3"/>
        </w:rPr>
        <w:t>Oktober</w:t>
      </w:r>
      <w:r w:rsidR="004564CF">
        <w:rPr>
          <w:b/>
          <w:spacing w:val="-3"/>
        </w:rPr>
        <w:t xml:space="preserve"> </w:t>
      </w:r>
      <w:r w:rsidR="007F150B">
        <w:rPr>
          <w:b/>
          <w:spacing w:val="-3"/>
        </w:rPr>
        <w:t>202</w:t>
      </w:r>
      <w:r w:rsidR="006C22BE">
        <w:rPr>
          <w:b/>
          <w:spacing w:val="-3"/>
        </w:rPr>
        <w:t>4</w:t>
      </w:r>
    </w:p>
    <w:p w14:paraId="74EA9F91" w14:textId="77777777" w:rsidR="007C153B" w:rsidRDefault="007C153B" w:rsidP="004564CF">
      <w:pPr>
        <w:framePr w:w="9574" w:h="1572" w:hSpace="240" w:vSpace="120" w:wrap="auto" w:vAnchor="text" w:hAnchor="page" w:x="1510" w:y="419"/>
        <w:pBdr>
          <w:top w:val="single" w:sz="12" w:space="11" w:color="auto" w:shadow="1"/>
          <w:left w:val="single" w:sz="12" w:space="11" w:color="auto" w:shadow="1"/>
          <w:bottom w:val="single" w:sz="12" w:space="11" w:color="auto" w:shadow="1"/>
          <w:right w:val="single" w:sz="12" w:space="11" w:color="auto" w:shadow="1"/>
        </w:pBdr>
        <w:shd w:val="pct10" w:color="auto" w:fill="auto"/>
        <w:tabs>
          <w:tab w:val="center" w:pos="4862"/>
        </w:tabs>
        <w:jc w:val="center"/>
        <w:rPr>
          <w:spacing w:val="-3"/>
        </w:rPr>
      </w:pPr>
      <w:r>
        <w:rPr>
          <w:b/>
          <w:spacing w:val="-3"/>
        </w:rPr>
        <w:t>Examinatorium Strafprozessrecht</w:t>
      </w:r>
    </w:p>
    <w:p w14:paraId="67F870B0" w14:textId="77777777" w:rsidR="007C153B" w:rsidRDefault="007C153B" w:rsidP="004564CF">
      <w:pPr>
        <w:framePr w:w="9574" w:h="1572" w:hSpace="240" w:vSpace="120" w:wrap="auto" w:vAnchor="text" w:hAnchor="page" w:x="1510" w:y="419"/>
        <w:pBdr>
          <w:top w:val="single" w:sz="12" w:space="11" w:color="auto" w:shadow="1"/>
          <w:left w:val="single" w:sz="12" w:space="11" w:color="auto" w:shadow="1"/>
          <w:bottom w:val="single" w:sz="12" w:space="11" w:color="auto" w:shadow="1"/>
          <w:right w:val="single" w:sz="12" w:space="11" w:color="auto" w:shadow="1"/>
        </w:pBdr>
        <w:shd w:val="pct10" w:color="auto" w:fill="auto"/>
        <w:tabs>
          <w:tab w:val="center" w:pos="4862"/>
        </w:tabs>
        <w:jc w:val="center"/>
      </w:pPr>
      <w:r>
        <w:rPr>
          <w:b/>
          <w:spacing w:val="-7"/>
          <w:sz w:val="60"/>
        </w:rPr>
        <w:t>Übersicht</w:t>
      </w:r>
    </w:p>
    <w:p w14:paraId="4108093F" w14:textId="77777777" w:rsidR="007C153B" w:rsidRPr="002A022F" w:rsidRDefault="007C153B" w:rsidP="00E6186A">
      <w:pPr>
        <w:tabs>
          <w:tab w:val="left" w:pos="-720"/>
        </w:tabs>
        <w:jc w:val="both"/>
        <w:rPr>
          <w:spacing w:val="-3"/>
          <w:sz w:val="20"/>
          <w:szCs w:val="20"/>
        </w:rPr>
      </w:pPr>
    </w:p>
    <w:p w14:paraId="6C5792A5" w14:textId="77777777" w:rsidR="007C153B" w:rsidRPr="004564CF" w:rsidRDefault="007C153B" w:rsidP="00E6186A">
      <w:pPr>
        <w:rPr>
          <w:sz w:val="20"/>
          <w:szCs w:val="20"/>
        </w:rPr>
      </w:pPr>
    </w:p>
    <w:p w14:paraId="76A1BF32" w14:textId="77777777" w:rsidR="007C153B" w:rsidRPr="004927C3" w:rsidRDefault="007C153B" w:rsidP="004564CF">
      <w:pPr>
        <w:ind w:left="426" w:hanging="426"/>
        <w:rPr>
          <w:sz w:val="20"/>
          <w:szCs w:val="20"/>
        </w:rPr>
      </w:pPr>
      <w:r w:rsidRPr="004927C3">
        <w:rPr>
          <w:sz w:val="20"/>
          <w:szCs w:val="20"/>
        </w:rPr>
        <w:t xml:space="preserve">1) </w:t>
      </w:r>
      <w:r w:rsidR="00E6186A" w:rsidRPr="004927C3">
        <w:rPr>
          <w:sz w:val="20"/>
          <w:szCs w:val="20"/>
        </w:rPr>
        <w:tab/>
      </w:r>
      <w:r w:rsidRPr="004927C3">
        <w:rPr>
          <w:sz w:val="20"/>
          <w:szCs w:val="20"/>
        </w:rPr>
        <w:t>Ablauf des Strafverfahrens</w:t>
      </w:r>
    </w:p>
    <w:p w14:paraId="3630D9BA" w14:textId="77777777" w:rsidR="007C153B" w:rsidRPr="004564CF" w:rsidRDefault="007C153B" w:rsidP="004564CF">
      <w:pPr>
        <w:ind w:left="426" w:hanging="426"/>
        <w:rPr>
          <w:sz w:val="20"/>
          <w:szCs w:val="20"/>
        </w:rPr>
      </w:pPr>
      <w:r w:rsidRPr="004564CF">
        <w:rPr>
          <w:sz w:val="20"/>
          <w:szCs w:val="20"/>
        </w:rPr>
        <w:t xml:space="preserve">2)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 xml:space="preserve">Das Vorverfahren </w:t>
      </w:r>
    </w:p>
    <w:p w14:paraId="0B1D7217" w14:textId="77777777" w:rsidR="007C153B" w:rsidRPr="004564CF" w:rsidRDefault="007C153B" w:rsidP="004564CF">
      <w:pPr>
        <w:ind w:left="426" w:hanging="426"/>
        <w:rPr>
          <w:sz w:val="20"/>
          <w:szCs w:val="20"/>
        </w:rPr>
      </w:pPr>
      <w:r w:rsidRPr="004564CF">
        <w:rPr>
          <w:sz w:val="20"/>
          <w:szCs w:val="20"/>
        </w:rPr>
        <w:t xml:space="preserve">3)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Das Zwischenverfahren</w:t>
      </w:r>
    </w:p>
    <w:p w14:paraId="03AE94B5" w14:textId="77777777" w:rsidR="007C153B" w:rsidRPr="004564CF" w:rsidRDefault="007C153B" w:rsidP="004564CF">
      <w:pPr>
        <w:ind w:left="426" w:hanging="426"/>
        <w:rPr>
          <w:sz w:val="20"/>
          <w:szCs w:val="20"/>
        </w:rPr>
      </w:pPr>
      <w:r w:rsidRPr="004564CF">
        <w:rPr>
          <w:sz w:val="20"/>
          <w:szCs w:val="20"/>
        </w:rPr>
        <w:t xml:space="preserve">4)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Das Hauptverfahren</w:t>
      </w:r>
    </w:p>
    <w:p w14:paraId="5B8B87A5" w14:textId="77777777" w:rsidR="007C153B" w:rsidRPr="004564CF" w:rsidRDefault="007C153B" w:rsidP="004564CF">
      <w:pPr>
        <w:ind w:left="426" w:hanging="426"/>
        <w:rPr>
          <w:sz w:val="20"/>
          <w:szCs w:val="20"/>
        </w:rPr>
      </w:pPr>
      <w:r w:rsidRPr="004564CF">
        <w:rPr>
          <w:sz w:val="20"/>
          <w:szCs w:val="20"/>
        </w:rPr>
        <w:t xml:space="preserve">5)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Die Prozessmaximen</w:t>
      </w:r>
    </w:p>
    <w:p w14:paraId="12DF9F02" w14:textId="77777777" w:rsidR="007C153B" w:rsidRPr="004564CF" w:rsidRDefault="007C153B" w:rsidP="004564CF">
      <w:pPr>
        <w:ind w:left="426" w:hanging="426"/>
        <w:rPr>
          <w:sz w:val="20"/>
          <w:szCs w:val="20"/>
        </w:rPr>
      </w:pPr>
      <w:r w:rsidRPr="004564CF">
        <w:rPr>
          <w:sz w:val="20"/>
          <w:szCs w:val="20"/>
        </w:rPr>
        <w:t xml:space="preserve">6)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Gerichtsaufbau I – Überblick</w:t>
      </w:r>
    </w:p>
    <w:p w14:paraId="27E3CFF1" w14:textId="323C152A" w:rsidR="007C153B" w:rsidRPr="004564CF" w:rsidRDefault="007C153B" w:rsidP="004564CF">
      <w:pPr>
        <w:ind w:left="426" w:hanging="426"/>
        <w:rPr>
          <w:sz w:val="20"/>
          <w:szCs w:val="20"/>
        </w:rPr>
      </w:pPr>
      <w:r w:rsidRPr="004564CF">
        <w:rPr>
          <w:sz w:val="20"/>
          <w:szCs w:val="20"/>
        </w:rPr>
        <w:t xml:space="preserve">7)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Gerichtsaufbau II – Sachliche Zuständigkei</w:t>
      </w:r>
      <w:r w:rsidR="00BB78AC">
        <w:rPr>
          <w:sz w:val="20"/>
          <w:szCs w:val="20"/>
        </w:rPr>
        <w:t>t in der ersten Instanz</w:t>
      </w:r>
    </w:p>
    <w:p w14:paraId="69AD1D93" w14:textId="77777777" w:rsidR="007C153B" w:rsidRPr="004564CF" w:rsidRDefault="007C153B" w:rsidP="004564CF">
      <w:pPr>
        <w:ind w:left="426" w:hanging="426"/>
        <w:rPr>
          <w:sz w:val="20"/>
          <w:szCs w:val="20"/>
        </w:rPr>
      </w:pPr>
      <w:r w:rsidRPr="004564CF">
        <w:rPr>
          <w:sz w:val="20"/>
          <w:szCs w:val="20"/>
        </w:rPr>
        <w:t xml:space="preserve">8)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Verfahrensbeteiligte I – Staatliche Beteiligte</w:t>
      </w:r>
    </w:p>
    <w:p w14:paraId="3154861E" w14:textId="77777777" w:rsidR="007C153B" w:rsidRPr="004564CF" w:rsidRDefault="007C153B" w:rsidP="004564CF">
      <w:pPr>
        <w:ind w:left="426" w:hanging="426"/>
        <w:rPr>
          <w:sz w:val="20"/>
          <w:szCs w:val="20"/>
        </w:rPr>
      </w:pPr>
      <w:r w:rsidRPr="004564CF">
        <w:rPr>
          <w:sz w:val="20"/>
          <w:szCs w:val="20"/>
        </w:rPr>
        <w:t xml:space="preserve">9)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Verfahrensbeteiligte II – Sonstige Beteiligte</w:t>
      </w:r>
    </w:p>
    <w:p w14:paraId="12A9EE17" w14:textId="77777777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10)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Prozessvoraussetzungen</w:t>
      </w:r>
    </w:p>
    <w:p w14:paraId="1C1F9CE2" w14:textId="77777777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11)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Ausschließung und Ablehnungsgründe</w:t>
      </w:r>
    </w:p>
    <w:p w14:paraId="03D24A3F" w14:textId="77777777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12)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Prozessuale Zwangsmaßnahmen – Überblick</w:t>
      </w:r>
    </w:p>
    <w:p w14:paraId="3576F295" w14:textId="3F743281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13)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 xml:space="preserve">Haftbefehl und </w:t>
      </w:r>
      <w:r w:rsidR="00BB78AC">
        <w:rPr>
          <w:sz w:val="20"/>
          <w:szCs w:val="20"/>
        </w:rPr>
        <w:t>U-Haft</w:t>
      </w:r>
    </w:p>
    <w:p w14:paraId="2F45119A" w14:textId="185BB34B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14)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Durchsuchung</w:t>
      </w:r>
      <w:r w:rsidR="00BB78AC">
        <w:rPr>
          <w:sz w:val="20"/>
          <w:szCs w:val="20"/>
        </w:rPr>
        <w:t>, §§ 102 ff. StPO</w:t>
      </w:r>
    </w:p>
    <w:p w14:paraId="07C101C3" w14:textId="5869389D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15)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Beschlagnahme</w:t>
      </w:r>
      <w:r w:rsidR="00BB78AC">
        <w:rPr>
          <w:sz w:val="20"/>
          <w:szCs w:val="20"/>
        </w:rPr>
        <w:t>, §</w:t>
      </w:r>
      <w:r w:rsidR="00052531">
        <w:rPr>
          <w:sz w:val="20"/>
          <w:szCs w:val="20"/>
        </w:rPr>
        <w:t>§</w:t>
      </w:r>
      <w:r w:rsidR="00BB78AC">
        <w:rPr>
          <w:sz w:val="20"/>
          <w:szCs w:val="20"/>
        </w:rPr>
        <w:t xml:space="preserve"> 94 ff. StPO</w:t>
      </w:r>
    </w:p>
    <w:p w14:paraId="126D4DE4" w14:textId="37769552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16)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Beobachtung und Untersuchung von Personen</w:t>
      </w:r>
      <w:r w:rsidR="00BB78AC">
        <w:rPr>
          <w:sz w:val="20"/>
          <w:szCs w:val="20"/>
        </w:rPr>
        <w:t>, §§ 81 ff. StPO</w:t>
      </w:r>
    </w:p>
    <w:p w14:paraId="0651D236" w14:textId="2F4F2600" w:rsidR="00E6186A" w:rsidRPr="004564CF" w:rsidRDefault="00E6186A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16a) </w:t>
      </w:r>
      <w:r w:rsidRPr="004564CF">
        <w:rPr>
          <w:sz w:val="20"/>
          <w:szCs w:val="20"/>
        </w:rPr>
        <w:tab/>
        <w:t>Körperliche Untersuchung</w:t>
      </w:r>
      <w:r w:rsidR="00EA6C9C">
        <w:rPr>
          <w:sz w:val="20"/>
          <w:szCs w:val="20"/>
        </w:rPr>
        <w:t xml:space="preserve"> und körperliche Eingriffe beim Beschuldigten</w:t>
      </w:r>
      <w:r w:rsidR="00BB78AC">
        <w:rPr>
          <w:sz w:val="20"/>
          <w:szCs w:val="20"/>
        </w:rPr>
        <w:t>, § 81a StPO</w:t>
      </w:r>
    </w:p>
    <w:p w14:paraId="0BFA25CE" w14:textId="099BBAFB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17)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DNA-Analyse</w:t>
      </w:r>
      <w:r w:rsidR="00BB78AC">
        <w:rPr>
          <w:sz w:val="20"/>
          <w:szCs w:val="20"/>
        </w:rPr>
        <w:t>, §§ 81e ff. StPO</w:t>
      </w:r>
    </w:p>
    <w:p w14:paraId="16890E8E" w14:textId="59EE1DE2" w:rsidR="007C153B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18) </w:t>
      </w:r>
      <w:r w:rsidR="00E6186A" w:rsidRPr="004564CF">
        <w:rPr>
          <w:sz w:val="20"/>
          <w:szCs w:val="20"/>
        </w:rPr>
        <w:tab/>
      </w:r>
      <w:r w:rsidR="00983796">
        <w:rPr>
          <w:sz w:val="20"/>
          <w:szCs w:val="20"/>
        </w:rPr>
        <w:t>Überwachung der Telekommunikation</w:t>
      </w:r>
      <w:r w:rsidR="00BB78AC">
        <w:rPr>
          <w:sz w:val="20"/>
          <w:szCs w:val="20"/>
        </w:rPr>
        <w:t>, §§ 100a ff. StPO</w:t>
      </w:r>
    </w:p>
    <w:p w14:paraId="23001256" w14:textId="281C28AF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19) </w:t>
      </w:r>
      <w:r w:rsidR="00E6186A" w:rsidRPr="004564CF">
        <w:rPr>
          <w:sz w:val="20"/>
          <w:szCs w:val="20"/>
        </w:rPr>
        <w:tab/>
      </w:r>
      <w:r w:rsidR="00B33369">
        <w:rPr>
          <w:sz w:val="20"/>
          <w:szCs w:val="20"/>
        </w:rPr>
        <w:t>Quellen-</w:t>
      </w:r>
      <w:r w:rsidR="00BB78AC">
        <w:rPr>
          <w:sz w:val="20"/>
          <w:szCs w:val="20"/>
        </w:rPr>
        <w:t>TKÜ</w:t>
      </w:r>
      <w:r w:rsidR="00BB78AC" w:rsidRPr="004564CF">
        <w:rPr>
          <w:sz w:val="20"/>
          <w:szCs w:val="20"/>
        </w:rPr>
        <w:t xml:space="preserve"> </w:t>
      </w:r>
      <w:r w:rsidR="00B33369">
        <w:rPr>
          <w:sz w:val="20"/>
          <w:szCs w:val="20"/>
        </w:rPr>
        <w:t xml:space="preserve">und </w:t>
      </w:r>
      <w:r w:rsidRPr="004564CF">
        <w:rPr>
          <w:sz w:val="20"/>
          <w:szCs w:val="20"/>
        </w:rPr>
        <w:t>Online-Durchsuchung</w:t>
      </w:r>
      <w:r w:rsidR="00BB78AC">
        <w:rPr>
          <w:sz w:val="20"/>
          <w:szCs w:val="20"/>
        </w:rPr>
        <w:t>, §§ 100a I 2, 3, 100b StPO</w:t>
      </w:r>
    </w:p>
    <w:p w14:paraId="54CC4249" w14:textId="27F39BA4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20)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Einsatz technischer Mittel</w:t>
      </w:r>
      <w:r w:rsidR="00BB78AC">
        <w:rPr>
          <w:sz w:val="20"/>
          <w:szCs w:val="20"/>
        </w:rPr>
        <w:t>, §§ 100c-100f, 100h StPO</w:t>
      </w:r>
    </w:p>
    <w:p w14:paraId="3B17CA94" w14:textId="1E02AD01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21)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Verdeckte Ermittler</w:t>
      </w:r>
      <w:r w:rsidR="00BB78AC">
        <w:rPr>
          <w:sz w:val="20"/>
          <w:szCs w:val="20"/>
        </w:rPr>
        <w:t>, § 110a StPO</w:t>
      </w:r>
    </w:p>
    <w:p w14:paraId="1AC3645D" w14:textId="1783440B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22)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Vorläufige Festnahme</w:t>
      </w:r>
      <w:r w:rsidR="00BB78AC">
        <w:rPr>
          <w:sz w:val="20"/>
          <w:szCs w:val="20"/>
        </w:rPr>
        <w:t>, § 127 StPO</w:t>
      </w:r>
    </w:p>
    <w:p w14:paraId="54EDFA08" w14:textId="6E023AF8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23)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Rechtsschutz gegen Zwangsmaßnahmen</w:t>
      </w:r>
    </w:p>
    <w:p w14:paraId="489DF23A" w14:textId="5B5177E5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24) </w:t>
      </w:r>
      <w:r w:rsidR="00E6186A" w:rsidRPr="004564CF">
        <w:rPr>
          <w:sz w:val="20"/>
          <w:szCs w:val="20"/>
        </w:rPr>
        <w:tab/>
      </w:r>
      <w:r w:rsidR="00983796">
        <w:rPr>
          <w:sz w:val="20"/>
          <w:szCs w:val="20"/>
        </w:rPr>
        <w:t xml:space="preserve">Vernehmung des Beschuldigten / </w:t>
      </w:r>
      <w:r w:rsidR="00BB78AC">
        <w:rPr>
          <w:sz w:val="20"/>
          <w:szCs w:val="20"/>
        </w:rPr>
        <w:t>v</w:t>
      </w:r>
      <w:r w:rsidRPr="004564CF">
        <w:rPr>
          <w:sz w:val="20"/>
          <w:szCs w:val="20"/>
        </w:rPr>
        <w:t>erbotene Vernehmungsmethoden</w:t>
      </w:r>
    </w:p>
    <w:p w14:paraId="6E62756E" w14:textId="335109DB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25)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Zeugnis</w:t>
      </w:r>
      <w:r w:rsidR="00983796">
        <w:rPr>
          <w:sz w:val="20"/>
          <w:szCs w:val="20"/>
        </w:rPr>
        <w:t>- und Aussage</w:t>
      </w:r>
      <w:r w:rsidRPr="004564CF">
        <w:rPr>
          <w:sz w:val="20"/>
          <w:szCs w:val="20"/>
        </w:rPr>
        <w:t>verweigerungsrechte</w:t>
      </w:r>
    </w:p>
    <w:p w14:paraId="523FFF69" w14:textId="5F71807B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26)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Beweisverwertungsverbote I</w:t>
      </w:r>
      <w:r w:rsidR="00BB78AC">
        <w:rPr>
          <w:sz w:val="20"/>
          <w:szCs w:val="20"/>
        </w:rPr>
        <w:t xml:space="preserve"> –</w:t>
      </w:r>
      <w:r w:rsidRPr="004564CF">
        <w:rPr>
          <w:sz w:val="20"/>
          <w:szCs w:val="20"/>
        </w:rPr>
        <w:t xml:space="preserve"> Überblick</w:t>
      </w:r>
    </w:p>
    <w:p w14:paraId="7C36421F" w14:textId="205AC4EE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27)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Beweisverwertungsverbote II</w:t>
      </w:r>
      <w:r w:rsidR="00BB78AC">
        <w:rPr>
          <w:sz w:val="20"/>
          <w:szCs w:val="20"/>
        </w:rPr>
        <w:t xml:space="preserve"> –</w:t>
      </w:r>
      <w:r w:rsidRPr="004564CF">
        <w:rPr>
          <w:sz w:val="20"/>
          <w:szCs w:val="20"/>
        </w:rPr>
        <w:t xml:space="preserve"> </w:t>
      </w:r>
      <w:r w:rsidR="00983796">
        <w:rPr>
          <w:sz w:val="20"/>
          <w:szCs w:val="20"/>
        </w:rPr>
        <w:t>Beschuldigtenvernehmung</w:t>
      </w:r>
    </w:p>
    <w:p w14:paraId="48939D71" w14:textId="5541948F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28)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Beweisverwertungsverbote III</w:t>
      </w:r>
      <w:r w:rsidR="00BB78AC">
        <w:rPr>
          <w:sz w:val="20"/>
          <w:szCs w:val="20"/>
        </w:rPr>
        <w:t xml:space="preserve"> –</w:t>
      </w:r>
      <w:r w:rsidRPr="004564CF">
        <w:rPr>
          <w:sz w:val="20"/>
          <w:szCs w:val="20"/>
        </w:rPr>
        <w:t xml:space="preserve"> Zeugnisverweigerungsrechte</w:t>
      </w:r>
    </w:p>
    <w:p w14:paraId="620BCD64" w14:textId="4FED1155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29)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Beweisverwertungsverbote IV</w:t>
      </w:r>
      <w:r w:rsidR="00BB78AC">
        <w:rPr>
          <w:sz w:val="20"/>
          <w:szCs w:val="20"/>
        </w:rPr>
        <w:t xml:space="preserve"> –</w:t>
      </w:r>
      <w:r w:rsidRPr="004564CF">
        <w:rPr>
          <w:sz w:val="20"/>
          <w:szCs w:val="20"/>
        </w:rPr>
        <w:t xml:space="preserve"> Schutz der Intimsphäre</w:t>
      </w:r>
    </w:p>
    <w:p w14:paraId="79D37142" w14:textId="54BECC7C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30)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Beweisverwertungsverbote V</w:t>
      </w:r>
      <w:r w:rsidR="00BB78AC">
        <w:rPr>
          <w:sz w:val="20"/>
          <w:szCs w:val="20"/>
        </w:rPr>
        <w:t xml:space="preserve"> –</w:t>
      </w:r>
      <w:r w:rsidRPr="004564CF">
        <w:rPr>
          <w:sz w:val="20"/>
          <w:szCs w:val="20"/>
        </w:rPr>
        <w:t xml:space="preserve"> Untersuchung von Personen</w:t>
      </w:r>
    </w:p>
    <w:p w14:paraId="3FACDB73" w14:textId="36B78C63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31)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Beweisverwertungsverbote VI</w:t>
      </w:r>
      <w:r w:rsidR="00BB78AC">
        <w:t xml:space="preserve"> –</w:t>
      </w:r>
      <w:r w:rsidRPr="004564CF">
        <w:rPr>
          <w:sz w:val="20"/>
          <w:szCs w:val="20"/>
        </w:rPr>
        <w:t xml:space="preserve"> </w:t>
      </w:r>
      <w:proofErr w:type="spellStart"/>
      <w:r w:rsidRPr="004564CF">
        <w:rPr>
          <w:sz w:val="20"/>
          <w:szCs w:val="20"/>
        </w:rPr>
        <w:t>Hörfalle</w:t>
      </w:r>
      <w:proofErr w:type="spellEnd"/>
    </w:p>
    <w:p w14:paraId="656BA8F6" w14:textId="3A91758D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32)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Beweisverwertungsverbote VII</w:t>
      </w:r>
      <w:r w:rsidR="00BB78AC">
        <w:rPr>
          <w:sz w:val="20"/>
          <w:szCs w:val="20"/>
        </w:rPr>
        <w:t xml:space="preserve"> –</w:t>
      </w:r>
      <w:r w:rsidRPr="004564CF">
        <w:rPr>
          <w:sz w:val="20"/>
          <w:szCs w:val="20"/>
        </w:rPr>
        <w:t xml:space="preserve"> Fernwirkung</w:t>
      </w:r>
    </w:p>
    <w:p w14:paraId="6E3DCB91" w14:textId="795775EA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33)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Beweisverwertungsverbote VIII</w:t>
      </w:r>
      <w:r w:rsidR="00BB78AC">
        <w:rPr>
          <w:sz w:val="20"/>
          <w:szCs w:val="20"/>
        </w:rPr>
        <w:t xml:space="preserve"> –</w:t>
      </w:r>
      <w:r w:rsidRPr="004564CF">
        <w:rPr>
          <w:sz w:val="20"/>
          <w:szCs w:val="20"/>
        </w:rPr>
        <w:t xml:space="preserve"> Ausforschung durch Privatpersonen</w:t>
      </w:r>
    </w:p>
    <w:p w14:paraId="53B77096" w14:textId="36065A17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34)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Einstellung des Verfahrens aus Opportunitätsgründen</w:t>
      </w:r>
      <w:r w:rsidR="006C22BE">
        <w:rPr>
          <w:sz w:val="20"/>
          <w:szCs w:val="20"/>
        </w:rPr>
        <w:t>, §§ 153 ff. StPO</w:t>
      </w:r>
    </w:p>
    <w:p w14:paraId="3F670E86" w14:textId="625A8A7B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35)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Klageerzwingungsverfahren</w:t>
      </w:r>
    </w:p>
    <w:p w14:paraId="6FA4F0F6" w14:textId="3B2BF235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36)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Beweismittel – Überblick</w:t>
      </w:r>
    </w:p>
    <w:p w14:paraId="25BCF5BF" w14:textId="0B0EC0A2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37) </w:t>
      </w:r>
      <w:r w:rsidR="00E6186A" w:rsidRPr="004564CF">
        <w:rPr>
          <w:sz w:val="20"/>
          <w:szCs w:val="20"/>
        </w:rPr>
        <w:tab/>
      </w:r>
      <w:r w:rsidR="008C5CD9">
        <w:rPr>
          <w:sz w:val="20"/>
          <w:szCs w:val="20"/>
        </w:rPr>
        <w:t xml:space="preserve">Beweisantragsrecht und </w:t>
      </w:r>
      <w:r w:rsidRPr="004564CF">
        <w:rPr>
          <w:sz w:val="20"/>
          <w:szCs w:val="20"/>
        </w:rPr>
        <w:t>Ablehnung des Beweisantrages</w:t>
      </w:r>
    </w:p>
    <w:p w14:paraId="5D2C54E9" w14:textId="3CBBE056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38)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Unmittelbarkeitsgrundsatz</w:t>
      </w:r>
      <w:r w:rsidR="006C22BE">
        <w:rPr>
          <w:sz w:val="20"/>
          <w:szCs w:val="20"/>
        </w:rPr>
        <w:t>, §§ 250 ff. StPO</w:t>
      </w:r>
    </w:p>
    <w:p w14:paraId="08C25526" w14:textId="56AD7197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39)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Freie richterliche Beweiswürdigung</w:t>
      </w:r>
      <w:r w:rsidR="006C22BE">
        <w:rPr>
          <w:sz w:val="20"/>
          <w:szCs w:val="20"/>
        </w:rPr>
        <w:t>, § 261 StPO</w:t>
      </w:r>
    </w:p>
    <w:p w14:paraId="224958DD" w14:textId="5EC7D1D8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40) </w:t>
      </w:r>
      <w:r w:rsidR="00E6186A" w:rsidRPr="004564CF">
        <w:rPr>
          <w:sz w:val="20"/>
          <w:szCs w:val="20"/>
        </w:rPr>
        <w:tab/>
      </w:r>
      <w:r w:rsidR="006A4AF7">
        <w:rPr>
          <w:sz w:val="20"/>
          <w:szCs w:val="20"/>
        </w:rPr>
        <w:t xml:space="preserve">Die Verständigung </w:t>
      </w:r>
      <w:r w:rsidRPr="004564CF">
        <w:rPr>
          <w:sz w:val="20"/>
          <w:szCs w:val="20"/>
        </w:rPr>
        <w:t>im Strafverfahren</w:t>
      </w:r>
    </w:p>
    <w:p w14:paraId="72E2E9C1" w14:textId="1CB97BFD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41)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Das Urteil</w:t>
      </w:r>
    </w:p>
    <w:p w14:paraId="062E784B" w14:textId="7ED5E251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42)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Rechts</w:t>
      </w:r>
      <w:r w:rsidR="008C5CD9">
        <w:rPr>
          <w:sz w:val="20"/>
          <w:szCs w:val="20"/>
        </w:rPr>
        <w:t>behelfe</w:t>
      </w:r>
      <w:r w:rsidRPr="004564CF">
        <w:rPr>
          <w:sz w:val="20"/>
          <w:szCs w:val="20"/>
        </w:rPr>
        <w:t xml:space="preserve"> – Überblick</w:t>
      </w:r>
    </w:p>
    <w:p w14:paraId="3FC98D5E" w14:textId="7462809F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43)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Die Beschwerde</w:t>
      </w:r>
      <w:r w:rsidR="006C22BE">
        <w:rPr>
          <w:sz w:val="20"/>
          <w:szCs w:val="20"/>
        </w:rPr>
        <w:t>, §§ 304 ff. StPO</w:t>
      </w:r>
    </w:p>
    <w:p w14:paraId="32412ADD" w14:textId="45BBF980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44)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Die Berufung</w:t>
      </w:r>
      <w:r w:rsidR="006C22BE">
        <w:rPr>
          <w:sz w:val="20"/>
          <w:szCs w:val="20"/>
        </w:rPr>
        <w:t>, §§ 312 ff. StPO</w:t>
      </w:r>
    </w:p>
    <w:p w14:paraId="0916205A" w14:textId="64E939A9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45)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Die Revision</w:t>
      </w:r>
      <w:r w:rsidR="006C22BE">
        <w:rPr>
          <w:sz w:val="20"/>
          <w:szCs w:val="20"/>
        </w:rPr>
        <w:t>, §§ 333 ff. StPO</w:t>
      </w:r>
    </w:p>
    <w:p w14:paraId="30E3DBC9" w14:textId="47726843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46)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Die Revisionsgründe</w:t>
      </w:r>
    </w:p>
    <w:p w14:paraId="3073859D" w14:textId="06CFB029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47)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Das Strafbefehlsverfahren</w:t>
      </w:r>
    </w:p>
    <w:p w14:paraId="5AD99879" w14:textId="1997CD5B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48)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Die Privatklage</w:t>
      </w:r>
    </w:p>
    <w:p w14:paraId="68BB3BE3" w14:textId="42334425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49)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Die Nebenklage</w:t>
      </w:r>
    </w:p>
    <w:p w14:paraId="71F55CD0" w14:textId="5BE193A6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50)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Wiederaufnahme des Verfahrens</w:t>
      </w:r>
      <w:r w:rsidR="006C22BE">
        <w:rPr>
          <w:sz w:val="20"/>
          <w:szCs w:val="20"/>
        </w:rPr>
        <w:t>, §§ 359 ff. StPO</w:t>
      </w:r>
    </w:p>
    <w:p w14:paraId="6CF6803C" w14:textId="059E2205" w:rsidR="007C153B" w:rsidRPr="004564CF" w:rsidRDefault="007C153B">
      <w:pPr>
        <w:rPr>
          <w:sz w:val="20"/>
          <w:szCs w:val="20"/>
        </w:rPr>
      </w:pPr>
      <w:r w:rsidRPr="004564CF">
        <w:rPr>
          <w:sz w:val="20"/>
          <w:szCs w:val="20"/>
        </w:rPr>
        <w:t xml:space="preserve">51) </w:t>
      </w:r>
      <w:r w:rsidR="00E6186A" w:rsidRPr="004564CF">
        <w:rPr>
          <w:sz w:val="20"/>
          <w:szCs w:val="20"/>
        </w:rPr>
        <w:tab/>
      </w:r>
      <w:r w:rsidRPr="004564CF">
        <w:rPr>
          <w:sz w:val="20"/>
          <w:szCs w:val="20"/>
        </w:rPr>
        <w:t>Ne bis in idem</w:t>
      </w:r>
    </w:p>
    <w:sectPr w:rsidR="007C153B" w:rsidRPr="004564CF" w:rsidSect="007C153B">
      <w:pgSz w:w="11900" w:h="16840"/>
      <w:pgMar w:top="567" w:right="1418" w:bottom="1134" w:left="130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EAFA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401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4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30"/>
    <w:rsid w:val="00027808"/>
    <w:rsid w:val="00052531"/>
    <w:rsid w:val="00104040"/>
    <w:rsid w:val="00126C75"/>
    <w:rsid w:val="00133CA1"/>
    <w:rsid w:val="00207ADE"/>
    <w:rsid w:val="0028548B"/>
    <w:rsid w:val="002A305F"/>
    <w:rsid w:val="002D0512"/>
    <w:rsid w:val="003D36DC"/>
    <w:rsid w:val="003E0E9F"/>
    <w:rsid w:val="003F7525"/>
    <w:rsid w:val="0045305B"/>
    <w:rsid w:val="004564CF"/>
    <w:rsid w:val="004927C3"/>
    <w:rsid w:val="004A7CB6"/>
    <w:rsid w:val="00502270"/>
    <w:rsid w:val="00544E93"/>
    <w:rsid w:val="00580430"/>
    <w:rsid w:val="005B3A21"/>
    <w:rsid w:val="00630160"/>
    <w:rsid w:val="006A4AF7"/>
    <w:rsid w:val="006C22BE"/>
    <w:rsid w:val="006D29BE"/>
    <w:rsid w:val="0071416E"/>
    <w:rsid w:val="007C153B"/>
    <w:rsid w:val="007F150B"/>
    <w:rsid w:val="0084683C"/>
    <w:rsid w:val="008678C9"/>
    <w:rsid w:val="008B636A"/>
    <w:rsid w:val="008C5CD9"/>
    <w:rsid w:val="00916373"/>
    <w:rsid w:val="00935EA7"/>
    <w:rsid w:val="00983796"/>
    <w:rsid w:val="009841FE"/>
    <w:rsid w:val="009E7C4D"/>
    <w:rsid w:val="00A07E44"/>
    <w:rsid w:val="00A1549E"/>
    <w:rsid w:val="00AE1EC2"/>
    <w:rsid w:val="00AF04C9"/>
    <w:rsid w:val="00B14C1E"/>
    <w:rsid w:val="00B279F7"/>
    <w:rsid w:val="00B33369"/>
    <w:rsid w:val="00B64277"/>
    <w:rsid w:val="00BB78AC"/>
    <w:rsid w:val="00C64B9B"/>
    <w:rsid w:val="00CD76F2"/>
    <w:rsid w:val="00CF57DB"/>
    <w:rsid w:val="00D05406"/>
    <w:rsid w:val="00D42A67"/>
    <w:rsid w:val="00DC62F2"/>
    <w:rsid w:val="00DD5043"/>
    <w:rsid w:val="00E6186A"/>
    <w:rsid w:val="00E653FB"/>
    <w:rsid w:val="00E72611"/>
    <w:rsid w:val="00EA6C9C"/>
    <w:rsid w:val="00EA6FA6"/>
    <w:rsid w:val="00EC318D"/>
    <w:rsid w:val="00EF502C"/>
    <w:rsid w:val="00F53C38"/>
    <w:rsid w:val="00F63EC9"/>
    <w:rsid w:val="00F665C1"/>
    <w:rsid w:val="00FA77AC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5E680B"/>
  <w15:chartTrackingRefBased/>
  <w15:docId w15:val="{4A72149E-3295-4DA6-B2D3-8EED4B90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FA585D"/>
    <w:pPr>
      <w:widowControl w:val="0"/>
      <w:autoSpaceDE w:val="0"/>
      <w:autoSpaceDN w:val="0"/>
      <w:adjustRightInd w:val="0"/>
    </w:pPr>
    <w:rPr>
      <w:rFonts w:ascii="Dutch Roman 12pt" w:hAnsi="Dutch Roman 12pt" w:cs="Arial Narrow"/>
    </w:rPr>
  </w:style>
  <w:style w:type="paragraph" w:styleId="Sprechblasentext">
    <w:name w:val="Balloon Text"/>
    <w:basedOn w:val="Standard"/>
    <w:semiHidden/>
    <w:rsid w:val="00E94FAD"/>
    <w:rPr>
      <w:rFonts w:ascii="Lucida Grande" w:hAnsi="Lucida Grande"/>
      <w:sz w:val="18"/>
      <w:szCs w:val="18"/>
    </w:rPr>
  </w:style>
  <w:style w:type="paragraph" w:styleId="berarbeitung">
    <w:name w:val="Revision"/>
    <w:hidden/>
    <w:uiPriority w:val="71"/>
    <w:rsid w:val="00027808"/>
    <w:rPr>
      <w:sz w:val="24"/>
      <w:szCs w:val="24"/>
    </w:rPr>
  </w:style>
  <w:style w:type="character" w:styleId="Kommentarzeichen">
    <w:name w:val="annotation reference"/>
    <w:uiPriority w:val="99"/>
    <w:semiHidden/>
    <w:unhideWhenUsed/>
    <w:rsid w:val="006A4A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4AF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4AF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4A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A4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A0D32F-9F57-4FF7-B1B7-6F039828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Übersichten</vt:lpstr>
    </vt:vector>
  </TitlesOfParts>
  <Company>Humboldt-Universität zu Berlin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Übersichten</dc:title>
  <dc:subject/>
  <dc:creator>Juristische Fakultät</dc:creator>
  <cp:keywords/>
  <cp:lastModifiedBy>Judith Schult</cp:lastModifiedBy>
  <cp:revision>2</cp:revision>
  <cp:lastPrinted>2024-09-24T06:11:00Z</cp:lastPrinted>
  <dcterms:created xsi:type="dcterms:W3CDTF">2024-10-04T06:40:00Z</dcterms:created>
  <dcterms:modified xsi:type="dcterms:W3CDTF">2024-10-04T06:40:00Z</dcterms:modified>
</cp:coreProperties>
</file>