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43F1" w14:textId="51E8D7C0" w:rsidR="00FC72DA" w:rsidRDefault="00FC72DA">
      <w:pPr>
        <w:tabs>
          <w:tab w:val="right" w:pos="10206"/>
        </w:tabs>
        <w:jc w:val="both"/>
        <w:rPr>
          <w:b/>
          <w:spacing w:val="-3"/>
        </w:rPr>
      </w:pPr>
      <w:r>
        <w:rPr>
          <w:b/>
          <w:spacing w:val="-3"/>
        </w:rPr>
        <w:t xml:space="preserve">Prof. Dr. </w:t>
      </w:r>
      <w:r w:rsidR="0092043C">
        <w:rPr>
          <w:b/>
          <w:spacing w:val="-3"/>
        </w:rPr>
        <w:t xml:space="preserve">Dr. h.c. </w:t>
      </w:r>
      <w:r>
        <w:rPr>
          <w:b/>
          <w:spacing w:val="-3"/>
        </w:rPr>
        <w:t>Bernd Heinrich/</w:t>
      </w:r>
      <w:r w:rsidR="00947598">
        <w:rPr>
          <w:b/>
          <w:spacing w:val="-3"/>
        </w:rPr>
        <w:t>Prof</w:t>
      </w:r>
      <w:r w:rsidR="009418FE">
        <w:rPr>
          <w:b/>
          <w:spacing w:val="-3"/>
        </w:rPr>
        <w:t xml:space="preserve">. </w:t>
      </w:r>
      <w:r>
        <w:rPr>
          <w:b/>
          <w:spacing w:val="-3"/>
        </w:rPr>
        <w:t>Dr. Tobias Reinbacher</w:t>
      </w:r>
      <w:r>
        <w:rPr>
          <w:b/>
          <w:spacing w:val="-3"/>
        </w:rPr>
        <w:tab/>
        <w:t xml:space="preserve">Stand: 1. </w:t>
      </w:r>
      <w:r w:rsidR="004B7D5B">
        <w:rPr>
          <w:b/>
          <w:spacing w:val="-3"/>
        </w:rPr>
        <w:t>Oktober</w:t>
      </w:r>
      <w:r w:rsidR="003218BC">
        <w:rPr>
          <w:b/>
          <w:spacing w:val="-3"/>
        </w:rPr>
        <w:t xml:space="preserve"> </w:t>
      </w:r>
      <w:r w:rsidR="00AE0E1D">
        <w:rPr>
          <w:b/>
          <w:spacing w:val="-3"/>
        </w:rPr>
        <w:t>202</w:t>
      </w:r>
      <w:r w:rsidR="00823DA0">
        <w:rPr>
          <w:b/>
          <w:spacing w:val="-3"/>
        </w:rPr>
        <w:t>4</w:t>
      </w:r>
    </w:p>
    <w:p w14:paraId="416D37E9" w14:textId="77777777" w:rsidR="00FC72DA" w:rsidRDefault="00FC72DA">
      <w:pPr>
        <w:tabs>
          <w:tab w:val="left" w:pos="-720"/>
        </w:tabs>
        <w:jc w:val="both"/>
        <w:rPr>
          <w:spacing w:val="-3"/>
        </w:rPr>
      </w:pPr>
    </w:p>
    <w:p w14:paraId="1606CACD" w14:textId="6A324C12" w:rsidR="00FC72DA" w:rsidRDefault="00FC72DA" w:rsidP="00FC72DA">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823DA0">
        <w:rPr>
          <w:b/>
          <w:spacing w:val="-3"/>
        </w:rPr>
        <w:t> </w:t>
      </w:r>
      <w:r>
        <w:rPr>
          <w:b/>
          <w:spacing w:val="-3"/>
        </w:rPr>
        <w:t>6</w:t>
      </w:r>
    </w:p>
    <w:p w14:paraId="1D9ED631" w14:textId="77777777" w:rsidR="00FC72DA" w:rsidRPr="00D95148" w:rsidRDefault="00FC72DA" w:rsidP="00FC72DA">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6"/>
          <w:szCs w:val="56"/>
        </w:rPr>
      </w:pPr>
      <w:r w:rsidRPr="00D95148">
        <w:rPr>
          <w:b/>
          <w:spacing w:val="-7"/>
          <w:sz w:val="56"/>
          <w:szCs w:val="56"/>
        </w:rPr>
        <w:t>Gerichtsaufbau I – Überblick</w:t>
      </w:r>
    </w:p>
    <w:p w14:paraId="718BE6B8" w14:textId="77777777" w:rsidR="00FC72DA" w:rsidRDefault="00FC72DA">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6C068C">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822EB1">
        <w:rPr>
          <w:rFonts w:ascii="Times New Roman" w:hAnsi="Times New Roman"/>
          <w:noProof/>
          <w:vanish/>
          <w:spacing w:val="-7"/>
          <w:sz w:val="60"/>
        </w:rPr>
        <w:t>1</w:t>
      </w:r>
      <w:r>
        <w:rPr>
          <w:rFonts w:ascii="Times New Roman" w:hAnsi="Times New Roman"/>
          <w:vanish/>
          <w:spacing w:val="-7"/>
          <w:sz w:val="60"/>
        </w:rPr>
        <w:fldChar w:fldCharType="end"/>
      </w:r>
    </w:p>
    <w:p w14:paraId="1F1F27A4" w14:textId="77777777" w:rsidR="00FC72DA"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19" w:lineRule="atLeast"/>
        <w:ind w:left="284" w:hanging="284"/>
        <w:jc w:val="both"/>
        <w:rPr>
          <w:rFonts w:ascii="Times New Roman" w:hAnsi="Times New Roman"/>
          <w:b/>
          <w:spacing w:val="-2"/>
          <w:sz w:val="18"/>
        </w:rPr>
      </w:pPr>
    </w:p>
    <w:p w14:paraId="09408FBB" w14:textId="6D9D959C"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b/>
          <w:spacing w:val="-2"/>
          <w:sz w:val="19"/>
          <w:szCs w:val="19"/>
        </w:rPr>
        <w:t xml:space="preserve">I. </w:t>
      </w:r>
      <w:r w:rsidRPr="006948B9">
        <w:rPr>
          <w:rFonts w:ascii="Times New Roman" w:hAnsi="Times New Roman"/>
          <w:b/>
          <w:spacing w:val="-2"/>
          <w:sz w:val="19"/>
          <w:szCs w:val="19"/>
        </w:rPr>
        <w:tab/>
        <w:t>Allgemeines</w:t>
      </w:r>
      <w:r w:rsidRPr="006948B9">
        <w:rPr>
          <w:rFonts w:ascii="Times New Roman" w:hAnsi="Times New Roman"/>
          <w:spacing w:val="-2"/>
          <w:sz w:val="19"/>
          <w:szCs w:val="19"/>
        </w:rPr>
        <w:t>: Der Grundsatz des gesetzlichen Richters, Art. 101 I 2 GG, § 16 S. 2 GVG, verlangt, dass der Staat durch das Strafverfahrens- und das Gerichtsorganisationsrecht im Vorhinein für jeden denkbaren Rechtsfall abstrakt regelt, welches Gericht in der jeweiligen Sache zu befinden hat. Geregelt ist dies derzeit insb. in der StPO und im GVG. Trotz dieser Regelungen sind Zuständigkeitsfragen nicht immer eindeutig, da das Gesetz vielfach an Prognosen (voraussichtliche Strafhöhe) oder Einschätzungen (besondere Bedeutung des Falles, §§ 24 I Nr. 3, 74 I 2, 120 II Nr. 1 GVG) anknüpft. Bei einer Verbindung mehrerer Strafsachen, §§ 2 ff. StPO, ist das Gericht höherer Ordnung zuständig.</w:t>
      </w:r>
    </w:p>
    <w:p w14:paraId="0CD6A18C"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line="230" w:lineRule="auto"/>
        <w:ind w:left="284" w:hanging="284"/>
        <w:jc w:val="both"/>
        <w:rPr>
          <w:rFonts w:ascii="Times New Roman" w:hAnsi="Times New Roman"/>
          <w:b/>
          <w:spacing w:val="-2"/>
          <w:sz w:val="19"/>
          <w:szCs w:val="19"/>
        </w:rPr>
      </w:pPr>
      <w:r w:rsidRPr="006948B9">
        <w:rPr>
          <w:rFonts w:ascii="Times New Roman" w:hAnsi="Times New Roman"/>
          <w:b/>
          <w:spacing w:val="-2"/>
          <w:sz w:val="19"/>
          <w:szCs w:val="19"/>
        </w:rPr>
        <w:t>II. Arten der Zuständigkeit</w:t>
      </w:r>
    </w:p>
    <w:p w14:paraId="21003C92" w14:textId="77777777" w:rsidR="00FC72DA" w:rsidRPr="006948B9" w:rsidRDefault="00FC72DA" w:rsidP="000B1FAF">
      <w:pPr>
        <w:widowControl/>
        <w:tabs>
          <w:tab w:val="left" w:pos="-720"/>
          <w:tab w:val="left" w:pos="0"/>
          <w:tab w:val="left" w:pos="567"/>
          <w:tab w:val="left" w:pos="864"/>
          <w:tab w:val="left" w:pos="1116"/>
          <w:tab w:val="left" w:pos="1404"/>
          <w:tab w:val="left" w:pos="1692"/>
          <w:tab w:val="left" w:pos="1980"/>
          <w:tab w:val="left" w:pos="2268"/>
          <w:tab w:val="left" w:pos="2880"/>
        </w:tabs>
        <w:spacing w:line="230" w:lineRule="auto"/>
        <w:ind w:left="567" w:hanging="283"/>
        <w:jc w:val="both"/>
        <w:rPr>
          <w:rFonts w:ascii="Times New Roman" w:hAnsi="Times New Roman"/>
          <w:spacing w:val="-2"/>
          <w:sz w:val="19"/>
          <w:szCs w:val="19"/>
        </w:rPr>
      </w:pPr>
      <w:r w:rsidRPr="006948B9">
        <w:rPr>
          <w:rFonts w:ascii="Times New Roman" w:hAnsi="Times New Roman"/>
          <w:spacing w:val="-2"/>
          <w:sz w:val="19"/>
          <w:szCs w:val="19"/>
          <w:u w:val="single"/>
        </w:rPr>
        <w:t xml:space="preserve">1. </w:t>
      </w:r>
      <w:r w:rsidRPr="006948B9">
        <w:rPr>
          <w:rFonts w:ascii="Times New Roman" w:hAnsi="Times New Roman"/>
          <w:spacing w:val="-2"/>
          <w:sz w:val="19"/>
          <w:szCs w:val="19"/>
          <w:u w:val="single"/>
        </w:rPr>
        <w:tab/>
        <w:t>Sachliche Zuständigkeit:</w:t>
      </w:r>
      <w:r w:rsidRPr="006948B9">
        <w:rPr>
          <w:rFonts w:ascii="Times New Roman" w:hAnsi="Times New Roman"/>
          <w:spacing w:val="-2"/>
          <w:sz w:val="19"/>
          <w:szCs w:val="19"/>
        </w:rPr>
        <w:t xml:space="preserve"> Regelung der Frage, welches Gericht (z.B. AG, LG) und welcher Spruchkörper innerhalb eines Gerichts bei unterschiedlicher Strafgewalt (z.B. </w:t>
      </w:r>
      <w:r w:rsidR="00340060">
        <w:rPr>
          <w:rFonts w:ascii="Times New Roman" w:hAnsi="Times New Roman"/>
          <w:spacing w:val="-2"/>
          <w:sz w:val="19"/>
          <w:szCs w:val="19"/>
        </w:rPr>
        <w:t>Strafrichter</w:t>
      </w:r>
      <w:r w:rsidRPr="006948B9">
        <w:rPr>
          <w:rFonts w:ascii="Times New Roman" w:hAnsi="Times New Roman"/>
          <w:spacing w:val="-2"/>
          <w:sz w:val="19"/>
          <w:szCs w:val="19"/>
        </w:rPr>
        <w:t>, Schöffengericht) für die Strafsache in erster Instanz zuständig ist. Sie ist gem. § 6 StPO in jeder Lage des Verfahrens von Amts wegen zu prüfen. Gem. § 269 StPO darf sich ein Gericht nicht deshalb für unzuständig erklären, weil die Sache vor ein Gericht niederer Ordnung gehört (siehe dazu noch Arbeitsblatt Nr. 7).</w:t>
      </w:r>
    </w:p>
    <w:p w14:paraId="2120762C" w14:textId="77777777" w:rsidR="00FC72DA" w:rsidRPr="006948B9" w:rsidRDefault="00FC72DA" w:rsidP="000B1FAF">
      <w:pPr>
        <w:widowControl/>
        <w:tabs>
          <w:tab w:val="left" w:pos="-720"/>
          <w:tab w:val="left" w:pos="0"/>
          <w:tab w:val="left" w:pos="567"/>
          <w:tab w:val="left" w:pos="864"/>
          <w:tab w:val="left" w:pos="1116"/>
          <w:tab w:val="left" w:pos="1404"/>
          <w:tab w:val="left" w:pos="1692"/>
          <w:tab w:val="left" w:pos="1980"/>
          <w:tab w:val="left" w:pos="2268"/>
          <w:tab w:val="left" w:pos="2880"/>
        </w:tabs>
        <w:spacing w:line="230" w:lineRule="auto"/>
        <w:ind w:left="567" w:hanging="283"/>
        <w:jc w:val="both"/>
        <w:rPr>
          <w:rFonts w:ascii="Times New Roman" w:hAnsi="Times New Roman"/>
          <w:spacing w:val="-2"/>
          <w:sz w:val="19"/>
          <w:szCs w:val="19"/>
        </w:rPr>
      </w:pPr>
      <w:r w:rsidRPr="006948B9">
        <w:rPr>
          <w:rFonts w:ascii="Times New Roman" w:hAnsi="Times New Roman"/>
          <w:spacing w:val="-2"/>
          <w:sz w:val="19"/>
          <w:szCs w:val="19"/>
          <w:u w:val="single"/>
        </w:rPr>
        <w:t xml:space="preserve">2. </w:t>
      </w:r>
      <w:r w:rsidRPr="006948B9">
        <w:rPr>
          <w:rFonts w:ascii="Times New Roman" w:hAnsi="Times New Roman"/>
          <w:spacing w:val="-2"/>
          <w:sz w:val="19"/>
          <w:szCs w:val="19"/>
          <w:u w:val="single"/>
        </w:rPr>
        <w:tab/>
        <w:t>Örtliche Zuständigkeit:</w:t>
      </w:r>
      <w:r w:rsidRPr="006948B9">
        <w:rPr>
          <w:rFonts w:ascii="Times New Roman" w:hAnsi="Times New Roman"/>
          <w:spacing w:val="-2"/>
          <w:sz w:val="19"/>
          <w:szCs w:val="19"/>
        </w:rPr>
        <w:t xml:space="preserve"> Regelung der Frage, welches von mehreren sachlich zuständigen Gerichten nach örtlichen Gesichtspunkten zuständig ist (§§ 7 ff. StPO). Sie ist gem. § 16 StPO (nur) bis zur Eröffnung des Hauptverfahrens von Amts wegen zu prüfen, danach lediglich auf </w:t>
      </w:r>
      <w:r w:rsidR="00340060">
        <w:rPr>
          <w:rFonts w:ascii="Times New Roman" w:hAnsi="Times New Roman"/>
          <w:spacing w:val="-2"/>
          <w:sz w:val="19"/>
          <w:szCs w:val="19"/>
        </w:rPr>
        <w:t>Rüge</w:t>
      </w:r>
      <w:r w:rsidR="00340060" w:rsidRPr="006948B9">
        <w:rPr>
          <w:rFonts w:ascii="Times New Roman" w:hAnsi="Times New Roman"/>
          <w:spacing w:val="-2"/>
          <w:sz w:val="19"/>
          <w:szCs w:val="19"/>
        </w:rPr>
        <w:t xml:space="preserve"> </w:t>
      </w:r>
      <w:r w:rsidRPr="006948B9">
        <w:rPr>
          <w:rFonts w:ascii="Times New Roman" w:hAnsi="Times New Roman"/>
          <w:spacing w:val="-2"/>
          <w:sz w:val="19"/>
          <w:szCs w:val="19"/>
        </w:rPr>
        <w:t>des Angeklagten</w:t>
      </w:r>
      <w:r w:rsidR="00340060">
        <w:rPr>
          <w:rFonts w:ascii="Times New Roman" w:hAnsi="Times New Roman"/>
          <w:spacing w:val="-2"/>
          <w:sz w:val="19"/>
          <w:szCs w:val="19"/>
        </w:rPr>
        <w:t>, die</w:t>
      </w:r>
      <w:r w:rsidR="00C04A30">
        <w:rPr>
          <w:rFonts w:ascii="Times New Roman" w:hAnsi="Times New Roman"/>
          <w:spacing w:val="-2"/>
          <w:sz w:val="19"/>
          <w:szCs w:val="19"/>
        </w:rPr>
        <w:t xml:space="preserve"> </w:t>
      </w:r>
      <w:r w:rsidRPr="006948B9">
        <w:rPr>
          <w:rFonts w:ascii="Times New Roman" w:hAnsi="Times New Roman"/>
          <w:spacing w:val="-2"/>
          <w:sz w:val="19"/>
          <w:szCs w:val="19"/>
        </w:rPr>
        <w:t xml:space="preserve">allerdings nur bis zum Beginn </w:t>
      </w:r>
      <w:r w:rsidR="00C04A30">
        <w:rPr>
          <w:rFonts w:ascii="Times New Roman" w:hAnsi="Times New Roman"/>
          <w:spacing w:val="-2"/>
          <w:sz w:val="19"/>
          <w:szCs w:val="19"/>
        </w:rPr>
        <w:t>seiner</w:t>
      </w:r>
      <w:r w:rsidR="00C04A30" w:rsidRPr="006948B9">
        <w:rPr>
          <w:rFonts w:ascii="Times New Roman" w:hAnsi="Times New Roman"/>
          <w:spacing w:val="-2"/>
          <w:sz w:val="19"/>
          <w:szCs w:val="19"/>
        </w:rPr>
        <w:t xml:space="preserve"> </w:t>
      </w:r>
      <w:r w:rsidRPr="006948B9">
        <w:rPr>
          <w:rFonts w:ascii="Times New Roman" w:hAnsi="Times New Roman"/>
          <w:spacing w:val="-2"/>
          <w:sz w:val="19"/>
          <w:szCs w:val="19"/>
        </w:rPr>
        <w:t>Vernehmung zur Sache in der Hauptverhandlung möglich</w:t>
      </w:r>
      <w:r w:rsidR="00C04A30">
        <w:rPr>
          <w:rFonts w:ascii="Times New Roman" w:hAnsi="Times New Roman"/>
          <w:spacing w:val="-2"/>
          <w:sz w:val="19"/>
          <w:szCs w:val="19"/>
        </w:rPr>
        <w:t xml:space="preserve"> ist</w:t>
      </w:r>
      <w:r w:rsidRPr="006948B9">
        <w:rPr>
          <w:rFonts w:ascii="Times New Roman" w:hAnsi="Times New Roman"/>
          <w:spacing w:val="-2"/>
          <w:sz w:val="19"/>
          <w:szCs w:val="19"/>
        </w:rPr>
        <w:t>.</w:t>
      </w:r>
    </w:p>
    <w:p w14:paraId="7562343F" w14:textId="56D45408" w:rsidR="00FC72DA" w:rsidRPr="006948B9" w:rsidRDefault="00FC72DA" w:rsidP="000B1FAF">
      <w:pPr>
        <w:widowControl/>
        <w:tabs>
          <w:tab w:val="left" w:pos="-720"/>
          <w:tab w:val="left" w:pos="0"/>
          <w:tab w:val="left" w:pos="567"/>
          <w:tab w:val="left" w:pos="864"/>
          <w:tab w:val="left" w:pos="1116"/>
          <w:tab w:val="left" w:pos="1404"/>
          <w:tab w:val="left" w:pos="1692"/>
          <w:tab w:val="left" w:pos="1980"/>
          <w:tab w:val="left" w:pos="2268"/>
          <w:tab w:val="left" w:pos="2880"/>
        </w:tabs>
        <w:spacing w:line="230" w:lineRule="auto"/>
        <w:ind w:left="567" w:hanging="283"/>
        <w:jc w:val="both"/>
        <w:rPr>
          <w:rFonts w:ascii="Times New Roman" w:hAnsi="Times New Roman"/>
          <w:b/>
          <w:spacing w:val="-2"/>
          <w:sz w:val="19"/>
          <w:szCs w:val="19"/>
        </w:rPr>
      </w:pPr>
      <w:r w:rsidRPr="006948B9">
        <w:rPr>
          <w:rFonts w:ascii="Times New Roman" w:hAnsi="Times New Roman"/>
          <w:spacing w:val="-2"/>
          <w:sz w:val="19"/>
          <w:szCs w:val="19"/>
          <w:u w:val="single"/>
        </w:rPr>
        <w:t xml:space="preserve">3. </w:t>
      </w:r>
      <w:r w:rsidRPr="006948B9">
        <w:rPr>
          <w:rFonts w:ascii="Times New Roman" w:hAnsi="Times New Roman"/>
          <w:spacing w:val="-2"/>
          <w:sz w:val="19"/>
          <w:szCs w:val="19"/>
          <w:u w:val="single"/>
        </w:rPr>
        <w:tab/>
        <w:t>Funktionelle Zuständigkeit:</w:t>
      </w:r>
      <w:r w:rsidRPr="006948B9">
        <w:rPr>
          <w:rFonts w:ascii="Times New Roman" w:hAnsi="Times New Roman"/>
          <w:spacing w:val="-2"/>
          <w:sz w:val="19"/>
          <w:szCs w:val="19"/>
        </w:rPr>
        <w:t xml:space="preserve"> Zuständigkeitsprobleme, die nicht durch die Regeln der sachlichen oder örtlichen Zuständigkeit gelöst werden (z.B.</w:t>
      </w:r>
      <w:r w:rsidR="00B438CD">
        <w:rPr>
          <w:rFonts w:ascii="Times New Roman" w:hAnsi="Times New Roman"/>
          <w:spacing w:val="-2"/>
          <w:sz w:val="19"/>
          <w:szCs w:val="19"/>
        </w:rPr>
        <w:t xml:space="preserve"> zuständige</w:t>
      </w:r>
      <w:r w:rsidR="00C838D4">
        <w:rPr>
          <w:rFonts w:ascii="Times New Roman" w:hAnsi="Times New Roman"/>
          <w:spacing w:val="-2"/>
          <w:sz w:val="19"/>
          <w:szCs w:val="19"/>
        </w:rPr>
        <w:t>r</w:t>
      </w:r>
      <w:r w:rsidR="00B438CD">
        <w:rPr>
          <w:rFonts w:ascii="Times New Roman" w:hAnsi="Times New Roman"/>
          <w:spacing w:val="-2"/>
          <w:sz w:val="19"/>
          <w:szCs w:val="19"/>
        </w:rPr>
        <w:t xml:space="preserve"> Spruchkörper bei </w:t>
      </w:r>
      <w:r w:rsidR="00C838D4">
        <w:rPr>
          <w:rFonts w:ascii="Times New Roman" w:hAnsi="Times New Roman"/>
          <w:spacing w:val="-2"/>
          <w:sz w:val="19"/>
          <w:szCs w:val="19"/>
        </w:rPr>
        <w:t>Berufung;</w:t>
      </w:r>
      <w:r w:rsidRPr="006948B9">
        <w:rPr>
          <w:rFonts w:ascii="Times New Roman" w:hAnsi="Times New Roman"/>
          <w:spacing w:val="-2"/>
          <w:sz w:val="19"/>
          <w:szCs w:val="19"/>
        </w:rPr>
        <w:t xml:space="preserve"> </w:t>
      </w:r>
      <w:r w:rsidR="00C838D4">
        <w:rPr>
          <w:rFonts w:ascii="Times New Roman" w:hAnsi="Times New Roman"/>
          <w:spacing w:val="-2"/>
          <w:sz w:val="19"/>
          <w:szCs w:val="19"/>
        </w:rPr>
        <w:t>Z</w:t>
      </w:r>
      <w:r w:rsidRPr="006948B9">
        <w:rPr>
          <w:rFonts w:ascii="Times New Roman" w:hAnsi="Times New Roman"/>
          <w:spacing w:val="-2"/>
          <w:sz w:val="19"/>
          <w:szCs w:val="19"/>
        </w:rPr>
        <w:t>uständigkeitsverteilung zwischen Spruchkörpern mit gleicher Strafgewalt [Bsp.: allgemeine Strafkammer oder Wirtschaftsstrafkammer</w:t>
      </w:r>
      <w:r w:rsidR="00340060">
        <w:rPr>
          <w:rFonts w:ascii="Times New Roman" w:hAnsi="Times New Roman"/>
          <w:spacing w:val="-2"/>
          <w:sz w:val="19"/>
          <w:szCs w:val="19"/>
        </w:rPr>
        <w:t>, beachte hierzu §</w:t>
      </w:r>
      <w:r w:rsidR="00C04A30">
        <w:rPr>
          <w:rFonts w:ascii="Times New Roman" w:hAnsi="Times New Roman"/>
          <w:spacing w:val="-2"/>
          <w:sz w:val="19"/>
          <w:szCs w:val="19"/>
        </w:rPr>
        <w:t> </w:t>
      </w:r>
      <w:r w:rsidR="00340060">
        <w:rPr>
          <w:rFonts w:ascii="Times New Roman" w:hAnsi="Times New Roman"/>
          <w:spacing w:val="-2"/>
          <w:sz w:val="19"/>
          <w:szCs w:val="19"/>
        </w:rPr>
        <w:t>6a StPO</w:t>
      </w:r>
      <w:r w:rsidRPr="006948B9">
        <w:rPr>
          <w:rFonts w:ascii="Times New Roman" w:hAnsi="Times New Roman"/>
          <w:spacing w:val="-2"/>
          <w:sz w:val="19"/>
          <w:szCs w:val="19"/>
        </w:rPr>
        <w:t>], Aufgabenverteilung innerhalb der Spruchkörper [z.B. Verhandlungsleitung des Vorsitzenden, § 238 I StPO], Zuständigkeiten des Ermittlungsrichters).</w:t>
      </w:r>
    </w:p>
    <w:p w14:paraId="537B52EA" w14:textId="2455502B"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line="230" w:lineRule="auto"/>
        <w:ind w:left="284" w:hanging="284"/>
        <w:jc w:val="both"/>
        <w:rPr>
          <w:rFonts w:ascii="Times New Roman" w:hAnsi="Times New Roman"/>
          <w:b/>
          <w:spacing w:val="-2"/>
          <w:sz w:val="19"/>
          <w:szCs w:val="19"/>
        </w:rPr>
      </w:pPr>
      <w:r w:rsidRPr="006948B9">
        <w:rPr>
          <w:rFonts w:ascii="Times New Roman" w:hAnsi="Times New Roman"/>
          <w:b/>
          <w:spacing w:val="-2"/>
          <w:sz w:val="19"/>
          <w:szCs w:val="19"/>
        </w:rPr>
        <w:t xml:space="preserve">III. Die sachliche </w:t>
      </w:r>
      <w:r w:rsidR="003C01B5">
        <w:rPr>
          <w:rFonts w:ascii="Times New Roman" w:hAnsi="Times New Roman"/>
          <w:b/>
          <w:spacing w:val="-2"/>
          <w:sz w:val="19"/>
          <w:szCs w:val="19"/>
        </w:rPr>
        <w:t xml:space="preserve">und funktionelle </w:t>
      </w:r>
      <w:r w:rsidRPr="006948B9">
        <w:rPr>
          <w:rFonts w:ascii="Times New Roman" w:hAnsi="Times New Roman"/>
          <w:b/>
          <w:spacing w:val="-2"/>
          <w:sz w:val="19"/>
          <w:szCs w:val="19"/>
        </w:rPr>
        <w:t>Zuständigkeit (in erster Instanz) (siehe Arbeitsblatt Nr.</w:t>
      </w:r>
      <w:r w:rsidR="00823DA0">
        <w:rPr>
          <w:rFonts w:ascii="Times New Roman" w:hAnsi="Times New Roman"/>
          <w:b/>
          <w:spacing w:val="-2"/>
          <w:sz w:val="19"/>
          <w:szCs w:val="19"/>
        </w:rPr>
        <w:t> </w:t>
      </w:r>
      <w:r w:rsidRPr="006948B9">
        <w:rPr>
          <w:rFonts w:ascii="Times New Roman" w:hAnsi="Times New Roman"/>
          <w:b/>
          <w:spacing w:val="-2"/>
          <w:sz w:val="19"/>
          <w:szCs w:val="19"/>
        </w:rPr>
        <w:t>7)</w:t>
      </w:r>
    </w:p>
    <w:p w14:paraId="3D28C8EE"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1. </w:t>
      </w:r>
      <w:r w:rsidRPr="006948B9">
        <w:rPr>
          <w:rFonts w:ascii="Times New Roman" w:hAnsi="Times New Roman"/>
          <w:spacing w:val="-2"/>
          <w:sz w:val="19"/>
          <w:szCs w:val="19"/>
          <w:u w:val="single"/>
        </w:rPr>
        <w:tab/>
        <w:t>Das Amtsgericht:</w:t>
      </w:r>
      <w:r w:rsidRPr="006948B9">
        <w:rPr>
          <w:rFonts w:ascii="Times New Roman" w:hAnsi="Times New Roman"/>
          <w:spacing w:val="-2"/>
          <w:sz w:val="19"/>
          <w:szCs w:val="19"/>
        </w:rPr>
        <w:t xml:space="preserve"> Regelzuständigkeit nach § 24 I GVG</w:t>
      </w:r>
    </w:p>
    <w:p w14:paraId="60B117D8" w14:textId="77777777" w:rsidR="00FC72DA" w:rsidRPr="006948B9" w:rsidRDefault="00FC72DA" w:rsidP="000B1FAF">
      <w:pPr>
        <w:widowControl/>
        <w:tabs>
          <w:tab w:val="left" w:pos="-720"/>
          <w:tab w:val="left" w:pos="0"/>
          <w:tab w:val="left" w:pos="576"/>
          <w:tab w:val="left" w:pos="851"/>
          <w:tab w:val="left" w:pos="1116"/>
          <w:tab w:val="left" w:pos="1404"/>
          <w:tab w:val="left" w:pos="1692"/>
          <w:tab w:val="left" w:pos="1980"/>
          <w:tab w:val="left" w:pos="2268"/>
          <w:tab w:val="left" w:pos="2880"/>
        </w:tabs>
        <w:spacing w:line="230" w:lineRule="auto"/>
        <w:ind w:left="851" w:hanging="284"/>
        <w:jc w:val="both"/>
        <w:rPr>
          <w:rFonts w:ascii="Times New Roman" w:hAnsi="Times New Roman"/>
          <w:spacing w:val="-2"/>
          <w:sz w:val="19"/>
          <w:szCs w:val="19"/>
        </w:rPr>
      </w:pPr>
      <w:r w:rsidRPr="006948B9">
        <w:rPr>
          <w:rFonts w:ascii="Times New Roman" w:hAnsi="Times New Roman"/>
          <w:i/>
          <w:spacing w:val="-2"/>
          <w:sz w:val="19"/>
          <w:szCs w:val="19"/>
        </w:rPr>
        <w:tab/>
      </w:r>
      <w:r w:rsidRPr="006948B9">
        <w:rPr>
          <w:rFonts w:ascii="Times New Roman" w:hAnsi="Times New Roman"/>
          <w:spacing w:val="-2"/>
          <w:sz w:val="19"/>
          <w:szCs w:val="19"/>
        </w:rPr>
        <w:t xml:space="preserve">a) </w:t>
      </w:r>
      <w:r w:rsidRPr="006948B9">
        <w:rPr>
          <w:rFonts w:ascii="Times New Roman" w:hAnsi="Times New Roman"/>
          <w:spacing w:val="-2"/>
          <w:sz w:val="19"/>
          <w:szCs w:val="19"/>
        </w:rPr>
        <w:tab/>
        <w:t>Strafrichter</w:t>
      </w:r>
      <w:r w:rsidRPr="006948B9">
        <w:rPr>
          <w:rFonts w:ascii="Times New Roman" w:hAnsi="Times New Roman"/>
          <w:i/>
          <w:spacing w:val="-2"/>
          <w:sz w:val="19"/>
          <w:szCs w:val="19"/>
        </w:rPr>
        <w:t xml:space="preserve"> </w:t>
      </w:r>
      <w:r w:rsidRPr="006948B9">
        <w:rPr>
          <w:rFonts w:ascii="Times New Roman" w:hAnsi="Times New Roman"/>
          <w:spacing w:val="-2"/>
          <w:sz w:val="19"/>
          <w:szCs w:val="19"/>
        </w:rPr>
        <w:t xml:space="preserve">(1 Berufsrichter, § 25 GVG) </w:t>
      </w:r>
    </w:p>
    <w:p w14:paraId="04EC9AF4" w14:textId="0DE3994E" w:rsidR="00FC72DA" w:rsidRPr="006948B9" w:rsidRDefault="00FC72DA" w:rsidP="000B1FAF">
      <w:pPr>
        <w:widowControl/>
        <w:tabs>
          <w:tab w:val="left" w:pos="-720"/>
          <w:tab w:val="left" w:pos="0"/>
          <w:tab w:val="left" w:pos="576"/>
          <w:tab w:val="left" w:pos="864"/>
          <w:tab w:val="left" w:pos="993"/>
          <w:tab w:val="left" w:pos="1116"/>
          <w:tab w:val="left" w:pos="1404"/>
          <w:tab w:val="left" w:pos="1692"/>
          <w:tab w:val="left" w:pos="1980"/>
          <w:tab w:val="left" w:pos="2268"/>
          <w:tab w:val="left" w:pos="2880"/>
        </w:tabs>
        <w:spacing w:line="230" w:lineRule="auto"/>
        <w:ind w:left="851" w:hanging="284"/>
        <w:jc w:val="both"/>
        <w:rPr>
          <w:rFonts w:ascii="Times New Roman" w:hAnsi="Times New Roman"/>
          <w:spacing w:val="-2"/>
          <w:sz w:val="19"/>
          <w:szCs w:val="19"/>
        </w:rPr>
      </w:pPr>
      <w:r w:rsidRPr="006948B9">
        <w:rPr>
          <w:rFonts w:ascii="Times New Roman" w:hAnsi="Times New Roman"/>
          <w:i/>
          <w:spacing w:val="-2"/>
          <w:sz w:val="19"/>
          <w:szCs w:val="19"/>
        </w:rPr>
        <w:tab/>
      </w:r>
      <w:r w:rsidRPr="006948B9">
        <w:rPr>
          <w:rFonts w:ascii="Times New Roman" w:hAnsi="Times New Roman"/>
          <w:spacing w:val="-2"/>
          <w:sz w:val="19"/>
          <w:szCs w:val="19"/>
        </w:rPr>
        <w:t xml:space="preserve">b) </w:t>
      </w:r>
      <w:r w:rsidRPr="006948B9">
        <w:rPr>
          <w:rFonts w:ascii="Times New Roman" w:hAnsi="Times New Roman"/>
          <w:spacing w:val="-2"/>
          <w:sz w:val="19"/>
          <w:szCs w:val="19"/>
        </w:rPr>
        <w:tab/>
        <w:t>Schöffengericht</w:t>
      </w:r>
      <w:r w:rsidRPr="006948B9">
        <w:rPr>
          <w:rFonts w:ascii="Times New Roman" w:hAnsi="Times New Roman"/>
          <w:b/>
          <w:i/>
          <w:spacing w:val="-2"/>
          <w:sz w:val="19"/>
          <w:szCs w:val="19"/>
        </w:rPr>
        <w:t xml:space="preserve"> </w:t>
      </w:r>
      <w:r w:rsidRPr="006948B9">
        <w:rPr>
          <w:rFonts w:ascii="Times New Roman" w:hAnsi="Times New Roman"/>
          <w:spacing w:val="-2"/>
          <w:sz w:val="19"/>
          <w:szCs w:val="19"/>
        </w:rPr>
        <w:t xml:space="preserve">(1 Berufsrichter, 2 Schöffen, § 29 I </w:t>
      </w:r>
      <w:r w:rsidR="00823DA0">
        <w:rPr>
          <w:rFonts w:ascii="Times New Roman" w:hAnsi="Times New Roman"/>
          <w:spacing w:val="-2"/>
          <w:sz w:val="19"/>
          <w:szCs w:val="19"/>
        </w:rPr>
        <w:t xml:space="preserve">1 </w:t>
      </w:r>
      <w:r w:rsidR="004F3B83" w:rsidRPr="006948B9">
        <w:rPr>
          <w:rFonts w:ascii="Times New Roman" w:hAnsi="Times New Roman"/>
          <w:spacing w:val="-2"/>
          <w:sz w:val="19"/>
          <w:szCs w:val="19"/>
        </w:rPr>
        <w:t>GVG</w:t>
      </w:r>
      <w:r w:rsidRPr="006948B9">
        <w:rPr>
          <w:rFonts w:ascii="Times New Roman" w:hAnsi="Times New Roman"/>
          <w:spacing w:val="-2"/>
          <w:sz w:val="19"/>
          <w:szCs w:val="19"/>
        </w:rPr>
        <w:t>)</w:t>
      </w:r>
    </w:p>
    <w:p w14:paraId="0401422F" w14:textId="77777777" w:rsidR="00FC72DA" w:rsidRPr="006948B9" w:rsidRDefault="00FC72DA" w:rsidP="000B1FAF">
      <w:pPr>
        <w:widowControl/>
        <w:tabs>
          <w:tab w:val="left" w:pos="-720"/>
          <w:tab w:val="left" w:pos="0"/>
          <w:tab w:val="left" w:pos="576"/>
          <w:tab w:val="left" w:pos="851"/>
          <w:tab w:val="left" w:pos="1116"/>
          <w:tab w:val="left" w:pos="1404"/>
          <w:tab w:val="left" w:pos="1692"/>
          <w:tab w:val="left" w:pos="1980"/>
          <w:tab w:val="left" w:pos="2268"/>
          <w:tab w:val="left" w:pos="2880"/>
        </w:tabs>
        <w:spacing w:line="230" w:lineRule="auto"/>
        <w:ind w:left="851" w:hanging="284"/>
        <w:jc w:val="both"/>
        <w:rPr>
          <w:rFonts w:ascii="Times New Roman" w:hAnsi="Times New Roman"/>
          <w:spacing w:val="-2"/>
          <w:sz w:val="19"/>
          <w:szCs w:val="19"/>
        </w:rPr>
      </w:pPr>
      <w:r w:rsidRPr="006948B9">
        <w:rPr>
          <w:rFonts w:ascii="Times New Roman" w:hAnsi="Times New Roman"/>
          <w:i/>
          <w:spacing w:val="-2"/>
          <w:sz w:val="19"/>
          <w:szCs w:val="19"/>
        </w:rPr>
        <w:tab/>
      </w:r>
      <w:r w:rsidRPr="006948B9">
        <w:rPr>
          <w:rFonts w:ascii="Times New Roman" w:hAnsi="Times New Roman"/>
          <w:spacing w:val="-2"/>
          <w:sz w:val="19"/>
          <w:szCs w:val="19"/>
        </w:rPr>
        <w:t xml:space="preserve">c) </w:t>
      </w:r>
      <w:r w:rsidRPr="006948B9">
        <w:rPr>
          <w:rFonts w:ascii="Times New Roman" w:hAnsi="Times New Roman"/>
          <w:spacing w:val="-2"/>
          <w:sz w:val="19"/>
          <w:szCs w:val="19"/>
        </w:rPr>
        <w:tab/>
        <w:t xml:space="preserve">Erweitertes Schöffengericht (2 Berufsrichter, 2 Schöffen, § 29 II </w:t>
      </w:r>
      <w:r w:rsidR="004F3B83" w:rsidRPr="006948B9">
        <w:rPr>
          <w:rFonts w:ascii="Times New Roman" w:hAnsi="Times New Roman"/>
          <w:spacing w:val="-2"/>
          <w:sz w:val="19"/>
          <w:szCs w:val="19"/>
        </w:rPr>
        <w:t>GVG</w:t>
      </w:r>
      <w:r w:rsidRPr="006948B9">
        <w:rPr>
          <w:rFonts w:ascii="Times New Roman" w:hAnsi="Times New Roman"/>
          <w:spacing w:val="-2"/>
          <w:sz w:val="19"/>
          <w:szCs w:val="19"/>
        </w:rPr>
        <w:t>)</w:t>
      </w:r>
    </w:p>
    <w:p w14:paraId="3F54B9C0"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2. </w:t>
      </w:r>
      <w:r w:rsidRPr="006948B9">
        <w:rPr>
          <w:rFonts w:ascii="Times New Roman" w:hAnsi="Times New Roman"/>
          <w:spacing w:val="-2"/>
          <w:sz w:val="19"/>
          <w:szCs w:val="19"/>
          <w:u w:val="single"/>
        </w:rPr>
        <w:tab/>
        <w:t>Das Landgericht:</w:t>
      </w:r>
      <w:r w:rsidRPr="006948B9">
        <w:rPr>
          <w:rFonts w:ascii="Times New Roman" w:hAnsi="Times New Roman"/>
          <w:spacing w:val="-2"/>
          <w:sz w:val="19"/>
          <w:szCs w:val="19"/>
        </w:rPr>
        <w:t xml:space="preserve"> Zuständigkeit in den Fällen des § 74 GVG</w:t>
      </w:r>
    </w:p>
    <w:p w14:paraId="3066C8D4" w14:textId="77777777" w:rsidR="00FC72DA" w:rsidRPr="006948B9" w:rsidRDefault="00FC72DA" w:rsidP="000B1FAF">
      <w:pPr>
        <w:widowControl/>
        <w:tabs>
          <w:tab w:val="left" w:pos="-720"/>
          <w:tab w:val="left" w:pos="0"/>
          <w:tab w:val="left" w:pos="576"/>
          <w:tab w:val="left" w:pos="851"/>
          <w:tab w:val="left" w:pos="1116"/>
          <w:tab w:val="left" w:pos="1404"/>
          <w:tab w:val="left" w:pos="1692"/>
          <w:tab w:val="left" w:pos="1980"/>
          <w:tab w:val="left" w:pos="2268"/>
          <w:tab w:val="left" w:pos="2880"/>
        </w:tabs>
        <w:spacing w:line="230" w:lineRule="auto"/>
        <w:ind w:left="851" w:hanging="284"/>
        <w:jc w:val="both"/>
        <w:rPr>
          <w:rFonts w:ascii="Times New Roman" w:hAnsi="Times New Roman"/>
          <w:spacing w:val="-2"/>
          <w:sz w:val="19"/>
          <w:szCs w:val="19"/>
        </w:rPr>
      </w:pPr>
      <w:r w:rsidRPr="006948B9">
        <w:rPr>
          <w:rFonts w:ascii="Times New Roman" w:hAnsi="Times New Roman"/>
          <w:i/>
          <w:spacing w:val="-2"/>
          <w:sz w:val="19"/>
          <w:szCs w:val="19"/>
        </w:rPr>
        <w:tab/>
      </w:r>
      <w:r w:rsidRPr="006948B9">
        <w:rPr>
          <w:rFonts w:ascii="Times New Roman" w:hAnsi="Times New Roman"/>
          <w:spacing w:val="-2"/>
          <w:sz w:val="19"/>
          <w:szCs w:val="19"/>
        </w:rPr>
        <w:t xml:space="preserve">a) </w:t>
      </w:r>
      <w:r w:rsidRPr="006948B9">
        <w:rPr>
          <w:rFonts w:ascii="Times New Roman" w:hAnsi="Times New Roman"/>
          <w:spacing w:val="-2"/>
          <w:sz w:val="19"/>
          <w:szCs w:val="19"/>
        </w:rPr>
        <w:tab/>
        <w:t>Große Strafkammer (3 Berufsrichter, 2 Schöffen, § 76 I 1 GVG, in einfachen Fällen 2 Berufsrichter, 2 Schöffen</w:t>
      </w:r>
      <w:r w:rsidRPr="006948B9">
        <w:rPr>
          <w:rFonts w:ascii="Times New Roman" w:hAnsi="Times New Roman"/>
          <w:i/>
          <w:spacing w:val="-2"/>
          <w:sz w:val="19"/>
          <w:szCs w:val="19"/>
        </w:rPr>
        <w:t xml:space="preserve">, </w:t>
      </w:r>
      <w:r w:rsidRPr="006948B9">
        <w:rPr>
          <w:rFonts w:ascii="Times New Roman" w:hAnsi="Times New Roman"/>
          <w:spacing w:val="-2"/>
          <w:sz w:val="19"/>
          <w:szCs w:val="19"/>
        </w:rPr>
        <w:t>§ 76 II GVG)</w:t>
      </w:r>
    </w:p>
    <w:p w14:paraId="72332AD4" w14:textId="77777777" w:rsidR="00FC72DA" w:rsidRPr="006948B9" w:rsidRDefault="00FC72DA" w:rsidP="000B1FAF">
      <w:pPr>
        <w:widowControl/>
        <w:tabs>
          <w:tab w:val="left" w:pos="-720"/>
          <w:tab w:val="left" w:pos="0"/>
          <w:tab w:val="left" w:pos="576"/>
          <w:tab w:val="left" w:pos="851"/>
          <w:tab w:val="left" w:pos="1116"/>
          <w:tab w:val="left" w:pos="1404"/>
          <w:tab w:val="left" w:pos="1692"/>
          <w:tab w:val="left" w:pos="1980"/>
          <w:tab w:val="left" w:pos="2268"/>
          <w:tab w:val="left" w:pos="2880"/>
        </w:tabs>
        <w:spacing w:line="230" w:lineRule="auto"/>
        <w:ind w:left="851" w:hanging="284"/>
        <w:jc w:val="both"/>
        <w:rPr>
          <w:rFonts w:ascii="Times New Roman" w:hAnsi="Times New Roman"/>
          <w:spacing w:val="-2"/>
          <w:sz w:val="19"/>
          <w:szCs w:val="19"/>
        </w:rPr>
      </w:pPr>
      <w:r w:rsidRPr="006948B9">
        <w:rPr>
          <w:rFonts w:ascii="Times New Roman" w:hAnsi="Times New Roman"/>
          <w:i/>
          <w:spacing w:val="-2"/>
          <w:sz w:val="19"/>
          <w:szCs w:val="19"/>
        </w:rPr>
        <w:tab/>
      </w:r>
      <w:r w:rsidRPr="006948B9">
        <w:rPr>
          <w:rFonts w:ascii="Times New Roman" w:hAnsi="Times New Roman"/>
          <w:spacing w:val="-2"/>
          <w:sz w:val="19"/>
          <w:szCs w:val="19"/>
        </w:rPr>
        <w:t xml:space="preserve">b) </w:t>
      </w:r>
      <w:r w:rsidRPr="006948B9">
        <w:rPr>
          <w:rFonts w:ascii="Times New Roman" w:hAnsi="Times New Roman"/>
          <w:spacing w:val="-2"/>
          <w:sz w:val="19"/>
          <w:szCs w:val="19"/>
        </w:rPr>
        <w:tab/>
        <w:t>Schwurgericht, § 74 II GVG;</w:t>
      </w:r>
      <w:r w:rsidRPr="006948B9">
        <w:rPr>
          <w:rFonts w:ascii="Times New Roman" w:hAnsi="Times New Roman"/>
          <w:i/>
          <w:spacing w:val="-2"/>
          <w:sz w:val="19"/>
          <w:szCs w:val="19"/>
        </w:rPr>
        <w:t xml:space="preserve"> </w:t>
      </w:r>
      <w:r w:rsidRPr="006948B9">
        <w:rPr>
          <w:rFonts w:ascii="Times New Roman" w:hAnsi="Times New Roman"/>
          <w:spacing w:val="-2"/>
          <w:sz w:val="19"/>
          <w:szCs w:val="19"/>
        </w:rPr>
        <w:t>Wirtschaftsstrafkammer,</w:t>
      </w:r>
      <w:r w:rsidRPr="006948B9">
        <w:rPr>
          <w:rFonts w:ascii="Times New Roman" w:hAnsi="Times New Roman"/>
          <w:i/>
          <w:spacing w:val="-2"/>
          <w:sz w:val="19"/>
          <w:szCs w:val="19"/>
        </w:rPr>
        <w:t xml:space="preserve"> </w:t>
      </w:r>
      <w:r w:rsidRPr="006948B9">
        <w:rPr>
          <w:rFonts w:ascii="Times New Roman" w:hAnsi="Times New Roman"/>
          <w:spacing w:val="-2"/>
          <w:sz w:val="19"/>
          <w:szCs w:val="19"/>
        </w:rPr>
        <w:t>§ 74c GVG; Staatsschutzkammer, § 74a GVG</w:t>
      </w:r>
    </w:p>
    <w:p w14:paraId="2FFF019A"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b/>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3. </w:t>
      </w:r>
      <w:r w:rsidRPr="006948B9">
        <w:rPr>
          <w:rFonts w:ascii="Times New Roman" w:hAnsi="Times New Roman"/>
          <w:spacing w:val="-2"/>
          <w:sz w:val="19"/>
          <w:szCs w:val="19"/>
          <w:u w:val="single"/>
        </w:rPr>
        <w:tab/>
        <w:t xml:space="preserve">Das Oberlandesgericht (in Berlin: </w:t>
      </w:r>
      <w:r w:rsidR="007517E9">
        <w:rPr>
          <w:rFonts w:ascii="Times New Roman" w:hAnsi="Times New Roman"/>
          <w:spacing w:val="-2"/>
          <w:sz w:val="19"/>
          <w:szCs w:val="19"/>
          <w:u w:val="single"/>
        </w:rPr>
        <w:t>KG</w:t>
      </w:r>
      <w:r w:rsidRPr="006948B9">
        <w:rPr>
          <w:rFonts w:ascii="Times New Roman" w:hAnsi="Times New Roman"/>
          <w:spacing w:val="-2"/>
          <w:sz w:val="19"/>
          <w:szCs w:val="19"/>
          <w:u w:val="single"/>
        </w:rPr>
        <w:t>):</w:t>
      </w:r>
      <w:r w:rsidRPr="006948B9">
        <w:rPr>
          <w:rFonts w:ascii="Times New Roman" w:hAnsi="Times New Roman"/>
          <w:spacing w:val="-2"/>
          <w:sz w:val="19"/>
          <w:szCs w:val="19"/>
        </w:rPr>
        <w:t xml:space="preserve"> Zuständigkeit in den Fällen des § 120 I, II GVG (Staatsschutzdelikte u.a.).</w:t>
      </w:r>
    </w:p>
    <w:p w14:paraId="64ED2AB7"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line="230" w:lineRule="auto"/>
        <w:jc w:val="both"/>
        <w:rPr>
          <w:rFonts w:ascii="Times New Roman" w:hAnsi="Times New Roman"/>
          <w:b/>
          <w:spacing w:val="-2"/>
          <w:sz w:val="19"/>
          <w:szCs w:val="19"/>
        </w:rPr>
      </w:pPr>
      <w:r w:rsidRPr="006948B9">
        <w:rPr>
          <w:rFonts w:ascii="Times New Roman" w:hAnsi="Times New Roman"/>
          <w:b/>
          <w:spacing w:val="-2"/>
          <w:sz w:val="19"/>
          <w:szCs w:val="19"/>
        </w:rPr>
        <w:t>IV. Zuständigkeit in Rechtsmittelsachen bei Urteilen (bei Beschwerden gelten Sonderregelungen)</w:t>
      </w:r>
    </w:p>
    <w:p w14:paraId="798C8A0A" w14:textId="77777777" w:rsidR="00FC72DA" w:rsidRPr="006948B9" w:rsidRDefault="00FC72DA" w:rsidP="000B1FAF">
      <w:pPr>
        <w:widowControl/>
        <w:tabs>
          <w:tab w:val="left" w:pos="-720"/>
          <w:tab w:val="left" w:pos="0"/>
          <w:tab w:val="left" w:pos="567"/>
          <w:tab w:val="left" w:pos="864"/>
          <w:tab w:val="left" w:pos="1116"/>
          <w:tab w:val="left" w:pos="1404"/>
          <w:tab w:val="left" w:pos="1692"/>
          <w:tab w:val="left" w:pos="1980"/>
          <w:tab w:val="left" w:pos="2268"/>
          <w:tab w:val="left" w:pos="2880"/>
        </w:tabs>
        <w:spacing w:line="230" w:lineRule="auto"/>
        <w:ind w:left="567" w:hanging="283"/>
        <w:jc w:val="both"/>
        <w:rPr>
          <w:rFonts w:ascii="Times New Roman" w:hAnsi="Times New Roman"/>
          <w:spacing w:val="-2"/>
          <w:sz w:val="19"/>
          <w:szCs w:val="19"/>
        </w:rPr>
      </w:pPr>
      <w:r w:rsidRPr="006948B9">
        <w:rPr>
          <w:rFonts w:ascii="Times New Roman" w:hAnsi="Times New Roman"/>
          <w:spacing w:val="-2"/>
          <w:sz w:val="19"/>
          <w:szCs w:val="19"/>
          <w:u w:val="single"/>
        </w:rPr>
        <w:t>1. Erste Instanz AG</w:t>
      </w:r>
      <w:r w:rsidRPr="006948B9">
        <w:rPr>
          <w:rFonts w:ascii="Times New Roman" w:hAnsi="Times New Roman"/>
          <w:b/>
          <w:i/>
          <w:spacing w:val="-2"/>
          <w:sz w:val="19"/>
          <w:szCs w:val="19"/>
          <w:u w:val="single"/>
        </w:rPr>
        <w:t xml:space="preserve"> </w:t>
      </w:r>
      <w:r w:rsidRPr="006948B9">
        <w:rPr>
          <w:rFonts w:ascii="Times New Roman" w:hAnsi="Times New Roman"/>
          <w:spacing w:val="-2"/>
          <w:sz w:val="19"/>
          <w:szCs w:val="19"/>
          <w:u w:val="single"/>
        </w:rPr>
        <w:t>(Strafrichter oder [erweitertes] Schöffengericht):</w:t>
      </w:r>
      <w:r w:rsidRPr="006948B9">
        <w:rPr>
          <w:rFonts w:ascii="Times New Roman" w:hAnsi="Times New Roman"/>
          <w:spacing w:val="-2"/>
          <w:sz w:val="19"/>
          <w:szCs w:val="19"/>
        </w:rPr>
        <w:t xml:space="preserve"> Berufung (§§ 312, 313 StPO) ans LG (kleine Strafkammer, 1 Berufsrichter, 2 Schöffen, §§ 74 III, 76 I 1 GVG; bei Berufungen gegen Urteile des erweiterten Schöffengerichts 2 Berufsrichter, 2 Schöffen, § 76 </w:t>
      </w:r>
      <w:r w:rsidR="004F3B83" w:rsidRPr="006948B9">
        <w:rPr>
          <w:rFonts w:ascii="Times New Roman" w:hAnsi="Times New Roman"/>
          <w:spacing w:val="-2"/>
          <w:sz w:val="19"/>
          <w:szCs w:val="19"/>
        </w:rPr>
        <w:t xml:space="preserve">VI 1 </w:t>
      </w:r>
      <w:r w:rsidRPr="006948B9">
        <w:rPr>
          <w:rFonts w:ascii="Times New Roman" w:hAnsi="Times New Roman"/>
          <w:spacing w:val="-2"/>
          <w:sz w:val="19"/>
          <w:szCs w:val="19"/>
        </w:rPr>
        <w:t>GVG). Revision (§§ 121 I Nr. 1b GVG) hiergegen ans OLG (3 Berufsrichter, § 122 I GVG</w:t>
      </w:r>
      <w:r w:rsidR="007517E9">
        <w:rPr>
          <w:rFonts w:ascii="Times New Roman" w:hAnsi="Times New Roman"/>
          <w:spacing w:val="-2"/>
          <w:sz w:val="19"/>
          <w:szCs w:val="19"/>
        </w:rPr>
        <w:t>; in Bayern: BayObLG; in Berlin: KG</w:t>
      </w:r>
      <w:r w:rsidRPr="006948B9">
        <w:rPr>
          <w:rFonts w:ascii="Times New Roman" w:hAnsi="Times New Roman"/>
          <w:spacing w:val="-2"/>
          <w:sz w:val="19"/>
          <w:szCs w:val="19"/>
        </w:rPr>
        <w:t>). Zulässig ist aber auch die Sprungrevision gegen Urteile des AG an das OLG</w:t>
      </w:r>
      <w:r w:rsidR="007517E9">
        <w:rPr>
          <w:rFonts w:ascii="Times New Roman" w:hAnsi="Times New Roman"/>
          <w:spacing w:val="-2"/>
          <w:sz w:val="19"/>
          <w:szCs w:val="19"/>
        </w:rPr>
        <w:t>/BayObLG/KG</w:t>
      </w:r>
      <w:r w:rsidRPr="006948B9">
        <w:rPr>
          <w:rFonts w:ascii="Times New Roman" w:hAnsi="Times New Roman"/>
          <w:spacing w:val="-2"/>
          <w:sz w:val="19"/>
          <w:szCs w:val="19"/>
        </w:rPr>
        <w:t>, § 335 StPO.</w:t>
      </w:r>
    </w:p>
    <w:p w14:paraId="1F98A07D"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2. </w:t>
      </w:r>
      <w:r w:rsidRPr="006948B9">
        <w:rPr>
          <w:rFonts w:ascii="Times New Roman" w:hAnsi="Times New Roman"/>
          <w:spacing w:val="-2"/>
          <w:sz w:val="19"/>
          <w:szCs w:val="19"/>
          <w:u w:val="single"/>
        </w:rPr>
        <w:tab/>
        <w:t>Erste Instanz LG:</w:t>
      </w:r>
      <w:r w:rsidRPr="006948B9">
        <w:rPr>
          <w:rFonts w:ascii="Times New Roman" w:hAnsi="Times New Roman"/>
          <w:spacing w:val="-2"/>
          <w:sz w:val="19"/>
          <w:szCs w:val="19"/>
        </w:rPr>
        <w:t xml:space="preserve"> Revision (§ 135 I GVG) zum BGH (Senat mit 5 Berufsrichtern, § 139 GVG).</w:t>
      </w:r>
    </w:p>
    <w:p w14:paraId="3D51A2D1"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3. </w:t>
      </w:r>
      <w:r w:rsidRPr="006948B9">
        <w:rPr>
          <w:rFonts w:ascii="Times New Roman" w:hAnsi="Times New Roman"/>
          <w:spacing w:val="-2"/>
          <w:sz w:val="19"/>
          <w:szCs w:val="19"/>
          <w:u w:val="single"/>
        </w:rPr>
        <w:tab/>
        <w:t>Erste Instanz OLG</w:t>
      </w:r>
      <w:r w:rsidR="007517E9">
        <w:rPr>
          <w:rFonts w:ascii="Times New Roman" w:hAnsi="Times New Roman"/>
          <w:spacing w:val="-2"/>
          <w:sz w:val="19"/>
          <w:szCs w:val="19"/>
          <w:u w:val="single"/>
        </w:rPr>
        <w:t>/KG</w:t>
      </w:r>
      <w:r w:rsidRPr="006948B9">
        <w:rPr>
          <w:rFonts w:ascii="Times New Roman" w:hAnsi="Times New Roman"/>
          <w:spacing w:val="-2"/>
          <w:sz w:val="19"/>
          <w:szCs w:val="19"/>
          <w:u w:val="single"/>
        </w:rPr>
        <w:t>:</w:t>
      </w:r>
      <w:r w:rsidRPr="006948B9">
        <w:rPr>
          <w:rFonts w:ascii="Times New Roman" w:hAnsi="Times New Roman"/>
          <w:spacing w:val="-2"/>
          <w:sz w:val="19"/>
          <w:szCs w:val="19"/>
        </w:rPr>
        <w:t xml:space="preserve"> Revision (§ 135 I GVG) zum BGH (Senat mit 5 Berufsrichtern, § 139 GVG).</w:t>
      </w:r>
    </w:p>
    <w:p w14:paraId="7FE009BC"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line="230" w:lineRule="auto"/>
        <w:ind w:left="284" w:hanging="284"/>
        <w:jc w:val="both"/>
        <w:rPr>
          <w:rFonts w:ascii="Times New Roman" w:hAnsi="Times New Roman"/>
          <w:spacing w:val="-2"/>
          <w:sz w:val="19"/>
          <w:szCs w:val="19"/>
        </w:rPr>
      </w:pPr>
      <w:r w:rsidRPr="006948B9">
        <w:rPr>
          <w:rFonts w:ascii="Times New Roman" w:hAnsi="Times New Roman"/>
          <w:b/>
          <w:spacing w:val="-2"/>
          <w:sz w:val="19"/>
          <w:szCs w:val="19"/>
        </w:rPr>
        <w:t xml:space="preserve">V. </w:t>
      </w:r>
      <w:r w:rsidRPr="006948B9">
        <w:rPr>
          <w:rFonts w:ascii="Times New Roman" w:hAnsi="Times New Roman"/>
          <w:b/>
          <w:spacing w:val="-2"/>
          <w:sz w:val="19"/>
          <w:szCs w:val="19"/>
        </w:rPr>
        <w:tab/>
        <w:t>Die örtliche Zuständigkeit („Gerichtsstand“, §§ 7 ff. StPO).</w:t>
      </w:r>
      <w:r w:rsidRPr="006948B9">
        <w:rPr>
          <w:rFonts w:ascii="Times New Roman" w:hAnsi="Times New Roman"/>
          <w:spacing w:val="-2"/>
          <w:sz w:val="19"/>
          <w:szCs w:val="19"/>
        </w:rPr>
        <w:t xml:space="preserve"> Bei mehreren Gerichtsständen Wahlrecht der Staatsanwaltschaft.</w:t>
      </w:r>
    </w:p>
    <w:p w14:paraId="50E25B05"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1. </w:t>
      </w:r>
      <w:r w:rsidRPr="006948B9">
        <w:rPr>
          <w:rFonts w:ascii="Times New Roman" w:hAnsi="Times New Roman"/>
          <w:spacing w:val="-2"/>
          <w:sz w:val="19"/>
          <w:szCs w:val="19"/>
          <w:u w:val="single"/>
        </w:rPr>
        <w:tab/>
        <w:t>Gerichtsstand des Tatortes,</w:t>
      </w:r>
      <w:r w:rsidRPr="006948B9">
        <w:rPr>
          <w:rFonts w:ascii="Times New Roman" w:hAnsi="Times New Roman"/>
          <w:i/>
          <w:spacing w:val="-2"/>
          <w:sz w:val="19"/>
          <w:szCs w:val="19"/>
          <w:u w:val="single"/>
        </w:rPr>
        <w:t xml:space="preserve"> </w:t>
      </w:r>
      <w:r w:rsidRPr="006948B9">
        <w:rPr>
          <w:rFonts w:ascii="Times New Roman" w:hAnsi="Times New Roman"/>
          <w:spacing w:val="-2"/>
          <w:sz w:val="19"/>
          <w:szCs w:val="19"/>
          <w:u w:val="single"/>
        </w:rPr>
        <w:t>§ 7 StPO</w:t>
      </w:r>
      <w:r w:rsidRPr="006948B9">
        <w:rPr>
          <w:rFonts w:ascii="Times New Roman" w:hAnsi="Times New Roman"/>
          <w:i/>
          <w:spacing w:val="-2"/>
          <w:sz w:val="19"/>
          <w:szCs w:val="19"/>
          <w:u w:val="single"/>
        </w:rPr>
        <w:t>.</w:t>
      </w:r>
      <w:r w:rsidRPr="006948B9">
        <w:rPr>
          <w:rFonts w:ascii="Times New Roman" w:hAnsi="Times New Roman"/>
          <w:spacing w:val="-2"/>
          <w:sz w:val="19"/>
          <w:szCs w:val="19"/>
        </w:rPr>
        <w:t xml:space="preserve"> Zum Begriff des Tatorts vgl. § 9 StGB.</w:t>
      </w:r>
    </w:p>
    <w:p w14:paraId="16CAB40C"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u w:val="single"/>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2. </w:t>
      </w:r>
      <w:r w:rsidRPr="006948B9">
        <w:rPr>
          <w:rFonts w:ascii="Times New Roman" w:hAnsi="Times New Roman"/>
          <w:spacing w:val="-2"/>
          <w:sz w:val="19"/>
          <w:szCs w:val="19"/>
          <w:u w:val="single"/>
        </w:rPr>
        <w:tab/>
        <w:t>Gerichtsstand des Wohnsitzes bzw. Aufenthaltsortes des Angeschuldigten, § 8 StPO</w:t>
      </w:r>
      <w:r w:rsidRPr="006948B9">
        <w:rPr>
          <w:rFonts w:ascii="Times New Roman" w:hAnsi="Times New Roman"/>
          <w:i/>
          <w:spacing w:val="-2"/>
          <w:sz w:val="19"/>
          <w:szCs w:val="19"/>
          <w:u w:val="single"/>
        </w:rPr>
        <w:t>.</w:t>
      </w:r>
    </w:p>
    <w:p w14:paraId="7969F30B"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3. </w:t>
      </w:r>
      <w:r w:rsidRPr="006948B9">
        <w:rPr>
          <w:rFonts w:ascii="Times New Roman" w:hAnsi="Times New Roman"/>
          <w:spacing w:val="-2"/>
          <w:sz w:val="19"/>
          <w:szCs w:val="19"/>
          <w:u w:val="single"/>
        </w:rPr>
        <w:tab/>
        <w:t>Gerichtsstand des Ergreifungsortes, § 9 StPO</w:t>
      </w:r>
      <w:r w:rsidRPr="006948B9">
        <w:rPr>
          <w:rFonts w:ascii="Times New Roman" w:hAnsi="Times New Roman"/>
          <w:i/>
          <w:spacing w:val="-2"/>
          <w:sz w:val="19"/>
          <w:szCs w:val="19"/>
          <w:u w:val="single"/>
        </w:rPr>
        <w:t>.</w:t>
      </w:r>
      <w:r w:rsidRPr="006948B9">
        <w:rPr>
          <w:rFonts w:ascii="Times New Roman" w:hAnsi="Times New Roman"/>
          <w:i/>
          <w:spacing w:val="-2"/>
          <w:sz w:val="19"/>
          <w:szCs w:val="19"/>
        </w:rPr>
        <w:t xml:space="preserve"> </w:t>
      </w:r>
      <w:r w:rsidRPr="006948B9">
        <w:rPr>
          <w:rFonts w:ascii="Times New Roman" w:hAnsi="Times New Roman"/>
          <w:spacing w:val="-2"/>
          <w:sz w:val="19"/>
          <w:szCs w:val="19"/>
        </w:rPr>
        <w:t>Insbes. bei Auslandstaten und Taten, bei denen der Tatort nicht feststeht.</w:t>
      </w:r>
    </w:p>
    <w:p w14:paraId="709DE029" w14:textId="77777777" w:rsidR="00FC72DA" w:rsidRPr="006948B9"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9"/>
          <w:szCs w:val="19"/>
        </w:rPr>
      </w:pPr>
      <w:r w:rsidRPr="006948B9">
        <w:rPr>
          <w:rFonts w:ascii="Times New Roman" w:hAnsi="Times New Roman"/>
          <w:spacing w:val="-2"/>
          <w:sz w:val="19"/>
          <w:szCs w:val="19"/>
        </w:rPr>
        <w:tab/>
      </w:r>
      <w:r w:rsidRPr="006948B9">
        <w:rPr>
          <w:rFonts w:ascii="Times New Roman" w:hAnsi="Times New Roman"/>
          <w:spacing w:val="-2"/>
          <w:sz w:val="19"/>
          <w:szCs w:val="19"/>
          <w:u w:val="single"/>
        </w:rPr>
        <w:t xml:space="preserve">4. </w:t>
      </w:r>
      <w:r w:rsidRPr="006948B9">
        <w:rPr>
          <w:rFonts w:ascii="Times New Roman" w:hAnsi="Times New Roman"/>
          <w:spacing w:val="-2"/>
          <w:sz w:val="19"/>
          <w:szCs w:val="19"/>
          <w:u w:val="single"/>
        </w:rPr>
        <w:tab/>
        <w:t>Besondere Gerichtsstände, §§ 10 ff. StPO</w:t>
      </w:r>
      <w:r w:rsidRPr="006948B9">
        <w:rPr>
          <w:rFonts w:ascii="Times New Roman" w:hAnsi="Times New Roman"/>
          <w:i/>
          <w:spacing w:val="-2"/>
          <w:sz w:val="19"/>
          <w:szCs w:val="19"/>
          <w:u w:val="single"/>
        </w:rPr>
        <w:t>.</w:t>
      </w:r>
      <w:r w:rsidRPr="006948B9">
        <w:rPr>
          <w:rFonts w:ascii="Times New Roman" w:hAnsi="Times New Roman"/>
          <w:spacing w:val="-2"/>
          <w:sz w:val="19"/>
          <w:szCs w:val="19"/>
        </w:rPr>
        <w:t xml:space="preserve"> Zu beachten hier insbes. Gerichtsstand des Zusammenhangs, § 13 StPO.</w:t>
      </w:r>
    </w:p>
    <w:p w14:paraId="73AD65C6" w14:textId="77777777" w:rsidR="00FC72DA" w:rsidRPr="007F7D23"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before="120" w:line="230" w:lineRule="auto"/>
        <w:jc w:val="both"/>
        <w:rPr>
          <w:rFonts w:ascii="Times New Roman" w:hAnsi="Times New Roman"/>
          <w:b/>
          <w:spacing w:val="-2"/>
          <w:sz w:val="18"/>
        </w:rPr>
      </w:pPr>
      <w:r w:rsidRPr="006948B9">
        <w:rPr>
          <w:rFonts w:ascii="Times New Roman" w:hAnsi="Times New Roman"/>
          <w:b/>
          <w:spacing w:val="-2"/>
          <w:sz w:val="19"/>
          <w:szCs w:val="19"/>
        </w:rPr>
        <w:t>VI. Rechtsfolge bei Verstößen:</w:t>
      </w:r>
      <w:r w:rsidRPr="006948B9">
        <w:rPr>
          <w:rFonts w:ascii="Times New Roman" w:hAnsi="Times New Roman"/>
          <w:spacing w:val="-2"/>
          <w:sz w:val="19"/>
          <w:szCs w:val="19"/>
        </w:rPr>
        <w:t xml:space="preserve"> </w:t>
      </w:r>
      <w:r w:rsidR="002472AE" w:rsidRPr="000B1FAF">
        <w:rPr>
          <w:rFonts w:ascii="Times New Roman" w:hAnsi="Times New Roman"/>
          <w:b/>
          <w:spacing w:val="-2"/>
          <w:sz w:val="19"/>
          <w:szCs w:val="19"/>
        </w:rPr>
        <w:t>§ 338 Nr. 4</w:t>
      </w:r>
      <w:r w:rsidR="000F2402">
        <w:rPr>
          <w:rFonts w:ascii="Times New Roman" w:hAnsi="Times New Roman"/>
          <w:b/>
          <w:spacing w:val="-2"/>
          <w:sz w:val="19"/>
          <w:szCs w:val="19"/>
        </w:rPr>
        <w:t xml:space="preserve"> StPO</w:t>
      </w:r>
      <w:r w:rsidR="002472AE" w:rsidRPr="002472AE">
        <w:rPr>
          <w:rFonts w:ascii="Times New Roman" w:hAnsi="Times New Roman"/>
          <w:spacing w:val="-2"/>
          <w:sz w:val="19"/>
          <w:szCs w:val="19"/>
        </w:rPr>
        <w:t xml:space="preserve"> betrifft die </w:t>
      </w:r>
      <w:r w:rsidR="002472AE" w:rsidRPr="000B1FAF">
        <w:rPr>
          <w:rFonts w:ascii="Times New Roman" w:hAnsi="Times New Roman"/>
          <w:b/>
          <w:spacing w:val="-2"/>
          <w:sz w:val="19"/>
          <w:szCs w:val="19"/>
        </w:rPr>
        <w:t>örtliche, sachliche</w:t>
      </w:r>
      <w:r w:rsidR="002472AE" w:rsidRPr="002472AE">
        <w:rPr>
          <w:rFonts w:ascii="Times New Roman" w:hAnsi="Times New Roman"/>
          <w:spacing w:val="-2"/>
          <w:sz w:val="19"/>
          <w:szCs w:val="19"/>
        </w:rPr>
        <w:t xml:space="preserve"> und </w:t>
      </w:r>
      <w:r w:rsidR="002472AE" w:rsidRPr="000B1FAF">
        <w:rPr>
          <w:rFonts w:ascii="Times New Roman" w:hAnsi="Times New Roman"/>
          <w:b/>
          <w:spacing w:val="-2"/>
          <w:sz w:val="19"/>
          <w:szCs w:val="19"/>
        </w:rPr>
        <w:t>besondere funktionelle</w:t>
      </w:r>
      <w:r w:rsidR="002472AE" w:rsidRPr="002472AE">
        <w:rPr>
          <w:rFonts w:ascii="Times New Roman" w:hAnsi="Times New Roman"/>
          <w:spacing w:val="-2"/>
          <w:sz w:val="19"/>
          <w:szCs w:val="19"/>
        </w:rPr>
        <w:t xml:space="preserve"> (§</w:t>
      </w:r>
      <w:r w:rsidR="002472AE">
        <w:rPr>
          <w:rFonts w:ascii="Times New Roman" w:hAnsi="Times New Roman"/>
          <w:spacing w:val="-2"/>
          <w:sz w:val="19"/>
          <w:szCs w:val="19"/>
        </w:rPr>
        <w:t xml:space="preserve">§ 74 II, </w:t>
      </w:r>
      <w:r w:rsidR="002472AE" w:rsidRPr="002472AE">
        <w:rPr>
          <w:rFonts w:ascii="Times New Roman" w:hAnsi="Times New Roman"/>
          <w:spacing w:val="-2"/>
          <w:sz w:val="19"/>
          <w:szCs w:val="19"/>
        </w:rPr>
        <w:t>74a, 74c GVG) Zuständigkeit des mit der Sache befassten Spruchkörpers.</w:t>
      </w:r>
      <w:r w:rsidR="002472AE">
        <w:rPr>
          <w:rFonts w:ascii="Times New Roman" w:hAnsi="Times New Roman"/>
          <w:spacing w:val="-2"/>
          <w:sz w:val="19"/>
          <w:szCs w:val="19"/>
        </w:rPr>
        <w:t xml:space="preserve"> </w:t>
      </w:r>
      <w:proofErr w:type="spellStart"/>
      <w:r w:rsidR="002472AE">
        <w:rPr>
          <w:rFonts w:ascii="Times New Roman" w:hAnsi="Times New Roman"/>
          <w:spacing w:val="-2"/>
          <w:sz w:val="19"/>
          <w:szCs w:val="19"/>
        </w:rPr>
        <w:t>I.R.d</w:t>
      </w:r>
      <w:proofErr w:type="spellEnd"/>
      <w:r w:rsidR="002472AE">
        <w:rPr>
          <w:rFonts w:ascii="Times New Roman" w:hAnsi="Times New Roman"/>
          <w:spacing w:val="-2"/>
          <w:sz w:val="19"/>
          <w:szCs w:val="19"/>
        </w:rPr>
        <w:t xml:space="preserve">. </w:t>
      </w:r>
      <w:r w:rsidR="002472AE" w:rsidRPr="000B1FAF">
        <w:rPr>
          <w:rFonts w:ascii="Times New Roman" w:hAnsi="Times New Roman"/>
          <w:b/>
          <w:spacing w:val="-2"/>
          <w:sz w:val="19"/>
          <w:szCs w:val="19"/>
        </w:rPr>
        <w:t>sachlichen Zuständigkeit</w:t>
      </w:r>
      <w:r w:rsidR="002472AE">
        <w:rPr>
          <w:rFonts w:ascii="Times New Roman" w:hAnsi="Times New Roman"/>
          <w:spacing w:val="-2"/>
          <w:sz w:val="19"/>
          <w:szCs w:val="19"/>
        </w:rPr>
        <w:t xml:space="preserve"> ist zu unterscheiden, ob die Zuständigkeit eines Gerichts höherer oder niederer Ordnung von dem </w:t>
      </w:r>
      <w:r w:rsidR="0087043E">
        <w:rPr>
          <w:rFonts w:ascii="Times New Roman" w:hAnsi="Times New Roman"/>
          <w:spacing w:val="-2"/>
          <w:sz w:val="19"/>
          <w:szCs w:val="19"/>
        </w:rPr>
        <w:t>Mangel</w:t>
      </w:r>
      <w:r w:rsidR="002472AE">
        <w:rPr>
          <w:rFonts w:ascii="Times New Roman" w:hAnsi="Times New Roman"/>
          <w:spacing w:val="-2"/>
          <w:sz w:val="19"/>
          <w:szCs w:val="19"/>
        </w:rPr>
        <w:t xml:space="preserve"> betroffen ist</w:t>
      </w:r>
      <w:r w:rsidR="0046146C">
        <w:rPr>
          <w:rFonts w:ascii="Times New Roman" w:hAnsi="Times New Roman"/>
          <w:spacing w:val="-2"/>
          <w:sz w:val="19"/>
          <w:szCs w:val="19"/>
        </w:rPr>
        <w:t>:</w:t>
      </w:r>
      <w:r w:rsidR="002472AE">
        <w:rPr>
          <w:rFonts w:ascii="Times New Roman" w:hAnsi="Times New Roman"/>
          <w:spacing w:val="-2"/>
          <w:sz w:val="19"/>
          <w:szCs w:val="19"/>
        </w:rPr>
        <w:t xml:space="preserve"> </w:t>
      </w:r>
      <w:r w:rsidR="00486516">
        <w:rPr>
          <w:rFonts w:ascii="Times New Roman" w:hAnsi="Times New Roman"/>
          <w:spacing w:val="-2"/>
          <w:sz w:val="19"/>
          <w:szCs w:val="19"/>
        </w:rPr>
        <w:t xml:space="preserve">War anstelle des Gerichts ein </w:t>
      </w:r>
      <w:r w:rsidR="00486516" w:rsidRPr="000B1FAF">
        <w:rPr>
          <w:rFonts w:ascii="Times New Roman" w:hAnsi="Times New Roman"/>
          <w:b/>
          <w:spacing w:val="-2"/>
          <w:sz w:val="19"/>
          <w:szCs w:val="19"/>
        </w:rPr>
        <w:t>höherrangiges Gericht</w:t>
      </w:r>
      <w:r w:rsidR="00486516">
        <w:rPr>
          <w:rFonts w:ascii="Times New Roman" w:hAnsi="Times New Roman"/>
          <w:spacing w:val="-2"/>
          <w:sz w:val="19"/>
          <w:szCs w:val="19"/>
        </w:rPr>
        <w:t xml:space="preserve"> </w:t>
      </w:r>
      <w:r w:rsidR="00486516" w:rsidRPr="000B1FAF">
        <w:rPr>
          <w:rFonts w:ascii="Times New Roman" w:hAnsi="Times New Roman"/>
          <w:b/>
          <w:spacing w:val="-2"/>
          <w:sz w:val="19"/>
          <w:szCs w:val="19"/>
        </w:rPr>
        <w:t>zuständig</w:t>
      </w:r>
      <w:r w:rsidR="00486516">
        <w:rPr>
          <w:rFonts w:ascii="Times New Roman" w:hAnsi="Times New Roman"/>
          <w:spacing w:val="-2"/>
          <w:sz w:val="19"/>
          <w:szCs w:val="19"/>
        </w:rPr>
        <w:t xml:space="preserve">, ist dieser Mangel nach </w:t>
      </w:r>
      <w:r w:rsidR="00486516" w:rsidRPr="000B1FAF">
        <w:rPr>
          <w:rFonts w:ascii="Times New Roman" w:hAnsi="Times New Roman"/>
          <w:b/>
          <w:spacing w:val="-2"/>
          <w:sz w:val="19"/>
          <w:szCs w:val="19"/>
        </w:rPr>
        <w:t>§ 6</w:t>
      </w:r>
      <w:r w:rsidR="000F2402">
        <w:rPr>
          <w:rFonts w:ascii="Times New Roman" w:hAnsi="Times New Roman"/>
          <w:b/>
          <w:spacing w:val="-2"/>
          <w:sz w:val="19"/>
          <w:szCs w:val="19"/>
        </w:rPr>
        <w:t xml:space="preserve"> StPO</w:t>
      </w:r>
      <w:r w:rsidR="00486516">
        <w:rPr>
          <w:rFonts w:ascii="Times New Roman" w:hAnsi="Times New Roman"/>
          <w:spacing w:val="-2"/>
          <w:sz w:val="19"/>
          <w:szCs w:val="19"/>
        </w:rPr>
        <w:t xml:space="preserve"> in jeder Lage des Verfahrens von Amts wegen zu berücksichtigen.</w:t>
      </w:r>
      <w:r w:rsidR="0046146C">
        <w:rPr>
          <w:rFonts w:ascii="Times New Roman" w:hAnsi="Times New Roman"/>
          <w:spacing w:val="-2"/>
          <w:sz w:val="19"/>
          <w:szCs w:val="19"/>
        </w:rPr>
        <w:t xml:space="preserve"> </w:t>
      </w:r>
      <w:r w:rsidR="00486516">
        <w:rPr>
          <w:rFonts w:ascii="Times New Roman" w:hAnsi="Times New Roman"/>
          <w:spacing w:val="-2"/>
          <w:sz w:val="19"/>
          <w:szCs w:val="19"/>
        </w:rPr>
        <w:t xml:space="preserve">Entscheidet hingegen ein </w:t>
      </w:r>
      <w:r w:rsidR="00486516" w:rsidRPr="00542DEB">
        <w:rPr>
          <w:rFonts w:ascii="Times New Roman" w:hAnsi="Times New Roman"/>
          <w:spacing w:val="-2"/>
          <w:sz w:val="19"/>
          <w:szCs w:val="19"/>
        </w:rPr>
        <w:t>Gericht höherer Ordnung anstelle eines Gerichts niederer Ordnung</w:t>
      </w:r>
      <w:r w:rsidR="00486516" w:rsidRPr="000F2402">
        <w:rPr>
          <w:rFonts w:ascii="Times New Roman" w:hAnsi="Times New Roman"/>
          <w:spacing w:val="-2"/>
          <w:sz w:val="19"/>
          <w:szCs w:val="19"/>
        </w:rPr>
        <w:t>, so</w:t>
      </w:r>
      <w:r w:rsidR="00486516">
        <w:rPr>
          <w:rFonts w:ascii="Times New Roman" w:hAnsi="Times New Roman"/>
          <w:spacing w:val="-2"/>
          <w:sz w:val="19"/>
          <w:szCs w:val="19"/>
        </w:rPr>
        <w:t xml:space="preserve"> ist diese fehlerhafte Übernahme wegen </w:t>
      </w:r>
      <w:r w:rsidR="00486516" w:rsidRPr="000B1FAF">
        <w:rPr>
          <w:rFonts w:ascii="Times New Roman" w:hAnsi="Times New Roman"/>
          <w:b/>
          <w:spacing w:val="-2"/>
          <w:sz w:val="19"/>
          <w:szCs w:val="19"/>
        </w:rPr>
        <w:t>§ 269</w:t>
      </w:r>
      <w:r w:rsidR="000F2402">
        <w:rPr>
          <w:rFonts w:ascii="Times New Roman" w:hAnsi="Times New Roman"/>
          <w:b/>
          <w:spacing w:val="-2"/>
          <w:sz w:val="19"/>
          <w:szCs w:val="19"/>
        </w:rPr>
        <w:t xml:space="preserve"> StPO</w:t>
      </w:r>
      <w:r w:rsidR="00486516">
        <w:rPr>
          <w:rFonts w:ascii="Times New Roman" w:hAnsi="Times New Roman"/>
          <w:spacing w:val="-2"/>
          <w:sz w:val="19"/>
          <w:szCs w:val="19"/>
        </w:rPr>
        <w:t xml:space="preserve"> unschädlich. Etwas anderes gilt jedoch bei </w:t>
      </w:r>
      <w:r w:rsidR="00486516" w:rsidRPr="00822EC4">
        <w:rPr>
          <w:rFonts w:ascii="Times New Roman" w:hAnsi="Times New Roman"/>
          <w:b/>
          <w:spacing w:val="-2"/>
          <w:sz w:val="19"/>
          <w:szCs w:val="19"/>
        </w:rPr>
        <w:t>objektiv willkürlichen Verstößen</w:t>
      </w:r>
      <w:r w:rsidR="00486516">
        <w:rPr>
          <w:rFonts w:ascii="Times New Roman" w:hAnsi="Times New Roman"/>
          <w:spacing w:val="-2"/>
          <w:sz w:val="19"/>
          <w:szCs w:val="19"/>
        </w:rPr>
        <w:t xml:space="preserve"> </w:t>
      </w:r>
      <w:r w:rsidR="00486516" w:rsidRPr="006948B9">
        <w:rPr>
          <w:rFonts w:ascii="Times New Roman" w:hAnsi="Times New Roman"/>
          <w:spacing w:val="-2"/>
          <w:sz w:val="19"/>
          <w:szCs w:val="19"/>
        </w:rPr>
        <w:t>(Entscheidungen, die auf sachfremden oder anderen offensichtlich unhaltbaren Erwägungen beruhen)</w:t>
      </w:r>
      <w:r w:rsidR="00486516">
        <w:rPr>
          <w:rFonts w:ascii="Times New Roman" w:hAnsi="Times New Roman"/>
          <w:spacing w:val="-2"/>
          <w:sz w:val="19"/>
          <w:szCs w:val="19"/>
        </w:rPr>
        <w:t xml:space="preserve">, da bei einer willkürlichen Annahme der Zuständigkeit das Recht auf den gesetzlichen Richter nach Art. 101 I 2 GG verletzt ist. </w:t>
      </w:r>
      <w:r w:rsidR="002472AE">
        <w:rPr>
          <w:rFonts w:ascii="Times New Roman" w:hAnsi="Times New Roman"/>
          <w:spacing w:val="-2"/>
          <w:sz w:val="19"/>
          <w:szCs w:val="19"/>
        </w:rPr>
        <w:t xml:space="preserve">Will der Revisionsführer die </w:t>
      </w:r>
      <w:r w:rsidR="002472AE" w:rsidRPr="000B1FAF">
        <w:rPr>
          <w:rFonts w:ascii="Times New Roman" w:hAnsi="Times New Roman"/>
          <w:b/>
          <w:spacing w:val="-2"/>
          <w:sz w:val="19"/>
          <w:szCs w:val="19"/>
        </w:rPr>
        <w:t>örtliche Zuständigkeit</w:t>
      </w:r>
      <w:r w:rsidR="002472AE">
        <w:rPr>
          <w:rFonts w:ascii="Times New Roman" w:hAnsi="Times New Roman"/>
          <w:spacing w:val="-2"/>
          <w:sz w:val="19"/>
          <w:szCs w:val="19"/>
        </w:rPr>
        <w:t xml:space="preserve"> rügen, ist </w:t>
      </w:r>
      <w:r w:rsidR="002472AE" w:rsidRPr="000B1FAF">
        <w:rPr>
          <w:rFonts w:ascii="Times New Roman" w:hAnsi="Times New Roman"/>
          <w:b/>
          <w:spacing w:val="-2"/>
          <w:sz w:val="19"/>
          <w:szCs w:val="19"/>
        </w:rPr>
        <w:t xml:space="preserve">§ 16 </w:t>
      </w:r>
      <w:r w:rsidR="00822EB1">
        <w:rPr>
          <w:rFonts w:ascii="Times New Roman" w:hAnsi="Times New Roman"/>
          <w:b/>
          <w:spacing w:val="-2"/>
          <w:sz w:val="19"/>
          <w:szCs w:val="19"/>
        </w:rPr>
        <w:t xml:space="preserve">I </w:t>
      </w:r>
      <w:r w:rsidR="002472AE" w:rsidRPr="000B1FAF">
        <w:rPr>
          <w:rFonts w:ascii="Times New Roman" w:hAnsi="Times New Roman"/>
          <w:b/>
          <w:spacing w:val="-2"/>
          <w:sz w:val="19"/>
          <w:szCs w:val="19"/>
        </w:rPr>
        <w:t>StPO</w:t>
      </w:r>
      <w:r w:rsidR="002472AE">
        <w:rPr>
          <w:rFonts w:ascii="Times New Roman" w:hAnsi="Times New Roman"/>
          <w:spacing w:val="-2"/>
          <w:sz w:val="19"/>
          <w:szCs w:val="19"/>
        </w:rPr>
        <w:t xml:space="preserve"> zu beachten: Hiernach prüft das Gericht seine örtliche Zuständigkeit bis zur Eröffnung des Hauptverfahrens von Amts wegen, danach spricht es seine Unzuständigkeit nur auf Einwand des Angeklagten aus. Dieser kann den Einwand jedoch </w:t>
      </w:r>
      <w:r w:rsidR="002472AE" w:rsidRPr="000A3103">
        <w:rPr>
          <w:rFonts w:ascii="Times New Roman" w:hAnsi="Times New Roman"/>
          <w:spacing w:val="-2"/>
          <w:sz w:val="19"/>
          <w:szCs w:val="19"/>
        </w:rPr>
        <w:t>nur bis zum Beginn seiner Vernehmung zur Sache in der Hauptverhandlung geltend machen. Wird der Einwand nach diesem Zeitpunkt geltend</w:t>
      </w:r>
      <w:r w:rsidR="002472AE">
        <w:rPr>
          <w:rFonts w:ascii="Times New Roman" w:hAnsi="Times New Roman"/>
          <w:spacing w:val="-2"/>
          <w:sz w:val="19"/>
          <w:szCs w:val="19"/>
        </w:rPr>
        <w:t xml:space="preserve"> gemacht, ist der Angeklagte mit der Rüge </w:t>
      </w:r>
      <w:r w:rsidR="002472AE" w:rsidRPr="000B1FAF">
        <w:rPr>
          <w:rFonts w:ascii="Times New Roman" w:hAnsi="Times New Roman"/>
          <w:b/>
          <w:spacing w:val="-2"/>
          <w:sz w:val="19"/>
          <w:szCs w:val="19"/>
        </w:rPr>
        <w:t>präkludiert</w:t>
      </w:r>
      <w:r w:rsidR="002472AE">
        <w:rPr>
          <w:rFonts w:ascii="Times New Roman" w:hAnsi="Times New Roman"/>
          <w:spacing w:val="-2"/>
          <w:sz w:val="19"/>
          <w:szCs w:val="19"/>
        </w:rPr>
        <w:t>.</w:t>
      </w:r>
    </w:p>
    <w:p w14:paraId="5E2657E3" w14:textId="77777777" w:rsidR="00FC72DA" w:rsidRPr="000A3103" w:rsidRDefault="00FC72DA" w:rsidP="000B1FAF">
      <w:pPr>
        <w:widowControl/>
        <w:tabs>
          <w:tab w:val="left" w:pos="-720"/>
          <w:tab w:val="left" w:pos="0"/>
          <w:tab w:val="left" w:pos="284"/>
          <w:tab w:val="left" w:pos="576"/>
          <w:tab w:val="left" w:pos="864"/>
          <w:tab w:val="left" w:pos="1116"/>
          <w:tab w:val="left" w:pos="1404"/>
          <w:tab w:val="left" w:pos="1692"/>
          <w:tab w:val="left" w:pos="1980"/>
          <w:tab w:val="left" w:pos="2268"/>
          <w:tab w:val="left" w:pos="2880"/>
        </w:tabs>
        <w:spacing w:line="230" w:lineRule="auto"/>
        <w:ind w:left="284" w:hanging="284"/>
        <w:jc w:val="both"/>
        <w:rPr>
          <w:rFonts w:ascii="Times New Roman" w:hAnsi="Times New Roman"/>
          <w:spacing w:val="-2"/>
          <w:sz w:val="18"/>
          <w:szCs w:val="18"/>
        </w:rPr>
      </w:pPr>
    </w:p>
    <w:p w14:paraId="00067C28" w14:textId="09294C03" w:rsidR="00FC72DA" w:rsidRPr="000A3103" w:rsidRDefault="00FC72DA" w:rsidP="000B1FAF">
      <w:pPr>
        <w:widowControl/>
        <w:tabs>
          <w:tab w:val="left" w:pos="-720"/>
          <w:tab w:val="left" w:pos="288"/>
          <w:tab w:val="left" w:pos="567"/>
          <w:tab w:val="left" w:pos="864"/>
          <w:tab w:val="left" w:pos="1116"/>
          <w:tab w:val="left" w:pos="1404"/>
          <w:tab w:val="left" w:pos="1692"/>
          <w:tab w:val="left" w:pos="1980"/>
          <w:tab w:val="left" w:pos="2268"/>
          <w:tab w:val="left" w:pos="2880"/>
        </w:tabs>
        <w:spacing w:line="230" w:lineRule="auto"/>
        <w:jc w:val="both"/>
        <w:rPr>
          <w:rFonts w:ascii="Times New Roman" w:hAnsi="Times New Roman"/>
          <w:spacing w:val="-2"/>
          <w:sz w:val="18"/>
          <w:szCs w:val="18"/>
        </w:rPr>
      </w:pPr>
      <w:r w:rsidRPr="000A3103">
        <w:rPr>
          <w:rFonts w:ascii="Times New Roman" w:hAnsi="Times New Roman"/>
          <w:b/>
          <w:spacing w:val="-2"/>
          <w:sz w:val="18"/>
          <w:szCs w:val="18"/>
        </w:rPr>
        <w:t>Literatur/Lehrbücher:</w:t>
      </w:r>
      <w:r w:rsidRPr="000A3103">
        <w:rPr>
          <w:rFonts w:ascii="Times New Roman" w:hAnsi="Times New Roman"/>
          <w:b/>
          <w:spacing w:val="-2"/>
          <w:sz w:val="18"/>
          <w:szCs w:val="18"/>
        </w:rPr>
        <w:tab/>
      </w:r>
      <w:r w:rsidR="007F51C5" w:rsidRPr="000A3103">
        <w:rPr>
          <w:rFonts w:ascii="Times New Roman" w:hAnsi="Times New Roman"/>
          <w:i/>
          <w:spacing w:val="-2"/>
          <w:sz w:val="18"/>
          <w:szCs w:val="18"/>
        </w:rPr>
        <w:t>Heinrich/Reinbacher</w:t>
      </w:r>
      <w:r w:rsidR="007F51C5" w:rsidRPr="000A3103">
        <w:rPr>
          <w:rFonts w:ascii="Times New Roman" w:hAnsi="Times New Roman"/>
          <w:spacing w:val="-2"/>
          <w:sz w:val="18"/>
          <w:szCs w:val="18"/>
        </w:rPr>
        <w:t xml:space="preserve">, Examinatorium Strafprozessrecht, </w:t>
      </w:r>
      <w:r w:rsidR="00B438CD">
        <w:rPr>
          <w:rFonts w:ascii="Times New Roman" w:hAnsi="Times New Roman"/>
          <w:spacing w:val="-2"/>
          <w:sz w:val="18"/>
          <w:szCs w:val="18"/>
        </w:rPr>
        <w:t>4</w:t>
      </w:r>
      <w:r w:rsidR="00F145FD" w:rsidRPr="000A3103">
        <w:rPr>
          <w:rFonts w:ascii="Times New Roman" w:hAnsi="Times New Roman"/>
          <w:spacing w:val="-2"/>
          <w:sz w:val="18"/>
          <w:szCs w:val="18"/>
        </w:rPr>
        <w:t>. Auflage 20</w:t>
      </w:r>
      <w:r w:rsidR="004528E9">
        <w:rPr>
          <w:rFonts w:ascii="Times New Roman" w:hAnsi="Times New Roman"/>
          <w:spacing w:val="-2"/>
          <w:sz w:val="18"/>
          <w:szCs w:val="18"/>
        </w:rPr>
        <w:t>2</w:t>
      </w:r>
      <w:r w:rsidR="00B438CD">
        <w:rPr>
          <w:rFonts w:ascii="Times New Roman" w:hAnsi="Times New Roman"/>
          <w:spacing w:val="-2"/>
          <w:sz w:val="18"/>
          <w:szCs w:val="18"/>
        </w:rPr>
        <w:t>3</w:t>
      </w:r>
      <w:r w:rsidR="00F145FD" w:rsidRPr="000A3103">
        <w:rPr>
          <w:rFonts w:ascii="Times New Roman" w:hAnsi="Times New Roman"/>
          <w:spacing w:val="-2"/>
          <w:sz w:val="18"/>
          <w:szCs w:val="18"/>
        </w:rPr>
        <w:t xml:space="preserve">, </w:t>
      </w:r>
      <w:r w:rsidR="007F51C5" w:rsidRPr="000A3103">
        <w:rPr>
          <w:rFonts w:ascii="Times New Roman" w:hAnsi="Times New Roman"/>
          <w:spacing w:val="-2"/>
          <w:sz w:val="18"/>
          <w:szCs w:val="18"/>
        </w:rPr>
        <w:t>Problem</w:t>
      </w:r>
      <w:r w:rsidR="0084129F">
        <w:rPr>
          <w:rFonts w:ascii="Times New Roman" w:hAnsi="Times New Roman"/>
          <w:spacing w:val="-2"/>
          <w:sz w:val="18"/>
          <w:szCs w:val="18"/>
        </w:rPr>
        <w:t> </w:t>
      </w:r>
      <w:r w:rsidR="007F51C5" w:rsidRPr="000A3103">
        <w:rPr>
          <w:rFonts w:ascii="Times New Roman" w:hAnsi="Times New Roman"/>
          <w:spacing w:val="-2"/>
          <w:sz w:val="18"/>
          <w:szCs w:val="18"/>
        </w:rPr>
        <w:t>6.</w:t>
      </w:r>
    </w:p>
    <w:p w14:paraId="13D5B219" w14:textId="77777777" w:rsidR="00FC72DA" w:rsidRPr="001839F2" w:rsidRDefault="00FC72DA" w:rsidP="000B1FAF">
      <w:pPr>
        <w:widowControl/>
        <w:tabs>
          <w:tab w:val="left" w:pos="-720"/>
          <w:tab w:val="left" w:pos="288"/>
          <w:tab w:val="left" w:pos="567"/>
          <w:tab w:val="left" w:pos="864"/>
          <w:tab w:val="left" w:pos="1116"/>
          <w:tab w:val="left" w:pos="1404"/>
          <w:tab w:val="left" w:pos="1692"/>
          <w:tab w:val="left" w:pos="1980"/>
          <w:tab w:val="left" w:pos="2268"/>
          <w:tab w:val="left" w:pos="2880"/>
        </w:tabs>
        <w:spacing w:line="230" w:lineRule="auto"/>
        <w:ind w:left="1980" w:hanging="1980"/>
        <w:jc w:val="both"/>
        <w:rPr>
          <w:rFonts w:ascii="Times New Roman" w:hAnsi="Times New Roman"/>
          <w:spacing w:val="-2"/>
          <w:sz w:val="18"/>
          <w:szCs w:val="18"/>
        </w:rPr>
      </w:pPr>
      <w:r w:rsidRPr="001839F2">
        <w:rPr>
          <w:rFonts w:ascii="Times New Roman" w:hAnsi="Times New Roman"/>
          <w:b/>
          <w:spacing w:val="-2"/>
          <w:sz w:val="18"/>
          <w:szCs w:val="18"/>
        </w:rPr>
        <w:t>Literatur/Aufsätze:</w:t>
      </w:r>
      <w:r w:rsidRPr="001839F2">
        <w:rPr>
          <w:rFonts w:ascii="Times New Roman" w:hAnsi="Times New Roman"/>
          <w:b/>
          <w:spacing w:val="-2"/>
          <w:sz w:val="18"/>
          <w:szCs w:val="18"/>
        </w:rPr>
        <w:tab/>
      </w:r>
      <w:r w:rsidRPr="001839F2">
        <w:rPr>
          <w:rFonts w:ascii="Times New Roman" w:hAnsi="Times New Roman"/>
          <w:b/>
          <w:spacing w:val="-2"/>
          <w:sz w:val="18"/>
          <w:szCs w:val="18"/>
        </w:rPr>
        <w:tab/>
      </w:r>
      <w:r w:rsidR="00A9566A" w:rsidRPr="001839F2">
        <w:rPr>
          <w:rFonts w:ascii="Times New Roman" w:hAnsi="Times New Roman"/>
          <w:i/>
          <w:spacing w:val="-2"/>
          <w:sz w:val="18"/>
          <w:szCs w:val="18"/>
        </w:rPr>
        <w:t>Arnold</w:t>
      </w:r>
      <w:r w:rsidR="00A9566A" w:rsidRPr="001839F2">
        <w:rPr>
          <w:rFonts w:ascii="Times New Roman" w:hAnsi="Times New Roman"/>
          <w:spacing w:val="-2"/>
          <w:sz w:val="18"/>
          <w:szCs w:val="18"/>
        </w:rPr>
        <w:t xml:space="preserve">, Bewegliche Zuständigkeit </w:t>
      </w:r>
      <w:proofErr w:type="gramStart"/>
      <w:r w:rsidR="00A9566A" w:rsidRPr="001839F2">
        <w:rPr>
          <w:rFonts w:ascii="Times New Roman" w:hAnsi="Times New Roman"/>
          <w:spacing w:val="-2"/>
          <w:sz w:val="18"/>
          <w:szCs w:val="18"/>
        </w:rPr>
        <w:t>versus gesetzlicher Richter</w:t>
      </w:r>
      <w:proofErr w:type="gramEnd"/>
      <w:r w:rsidR="00A9566A" w:rsidRPr="001839F2">
        <w:rPr>
          <w:rFonts w:ascii="Times New Roman" w:hAnsi="Times New Roman"/>
          <w:spacing w:val="-2"/>
          <w:sz w:val="18"/>
          <w:szCs w:val="18"/>
        </w:rPr>
        <w:t>, ZIS 2008, 92</w:t>
      </w:r>
      <w:r w:rsidR="0094460F" w:rsidRPr="001839F2">
        <w:rPr>
          <w:rFonts w:ascii="Times New Roman" w:hAnsi="Times New Roman"/>
          <w:spacing w:val="-2"/>
          <w:sz w:val="18"/>
          <w:szCs w:val="18"/>
        </w:rPr>
        <w:t xml:space="preserve">; </w:t>
      </w:r>
      <w:r w:rsidRPr="001839F2">
        <w:rPr>
          <w:rFonts w:ascii="Times New Roman" w:hAnsi="Times New Roman"/>
          <w:i/>
          <w:spacing w:val="-2"/>
          <w:sz w:val="18"/>
          <w:szCs w:val="18"/>
        </w:rPr>
        <w:t>Helm</w:t>
      </w:r>
      <w:r w:rsidRPr="001839F2">
        <w:rPr>
          <w:rFonts w:ascii="Times New Roman" w:hAnsi="Times New Roman"/>
          <w:spacing w:val="-2"/>
          <w:sz w:val="18"/>
          <w:szCs w:val="18"/>
        </w:rPr>
        <w:t>, Grundzüge des Strafverfahrensrechts: Die örtliche und funktionelle Zuständigkeit sowie der Instanzenzug, JA 2007, 272</w:t>
      </w:r>
      <w:r w:rsidR="00A9566A" w:rsidRPr="001839F2">
        <w:rPr>
          <w:rFonts w:ascii="Times New Roman" w:hAnsi="Times New Roman"/>
          <w:spacing w:val="-2"/>
          <w:sz w:val="18"/>
          <w:szCs w:val="18"/>
        </w:rPr>
        <w:t>.</w:t>
      </w:r>
    </w:p>
    <w:p w14:paraId="081E18F7" w14:textId="77777777" w:rsidR="00FC72DA" w:rsidRPr="000B1FAF" w:rsidRDefault="00FC72DA" w:rsidP="000B1FAF">
      <w:pPr>
        <w:widowControl/>
        <w:tabs>
          <w:tab w:val="left" w:pos="-720"/>
          <w:tab w:val="left" w:pos="288"/>
          <w:tab w:val="left" w:pos="576"/>
          <w:tab w:val="left" w:pos="864"/>
          <w:tab w:val="left" w:pos="1116"/>
          <w:tab w:val="left" w:pos="1404"/>
          <w:tab w:val="left" w:pos="1985"/>
          <w:tab w:val="left" w:pos="2268"/>
          <w:tab w:val="left" w:pos="2880"/>
        </w:tabs>
        <w:spacing w:line="230" w:lineRule="auto"/>
        <w:ind w:left="1985" w:hanging="1985"/>
        <w:jc w:val="both"/>
        <w:rPr>
          <w:rFonts w:ascii="Times New Roman" w:hAnsi="Times New Roman"/>
          <w:spacing w:val="-2"/>
          <w:sz w:val="18"/>
          <w:szCs w:val="18"/>
        </w:rPr>
      </w:pPr>
      <w:r w:rsidRPr="001839F2">
        <w:rPr>
          <w:rFonts w:ascii="Times New Roman" w:hAnsi="Times New Roman"/>
          <w:b/>
          <w:spacing w:val="-2"/>
          <w:sz w:val="18"/>
          <w:szCs w:val="18"/>
        </w:rPr>
        <w:t>Rechtsprechung:</w:t>
      </w:r>
      <w:r w:rsidRPr="001839F2">
        <w:rPr>
          <w:rFonts w:ascii="Times New Roman" w:hAnsi="Times New Roman"/>
          <w:b/>
          <w:spacing w:val="-2"/>
          <w:sz w:val="18"/>
          <w:szCs w:val="18"/>
        </w:rPr>
        <w:tab/>
      </w:r>
      <w:r w:rsidRPr="001839F2">
        <w:rPr>
          <w:rFonts w:ascii="Times New Roman" w:hAnsi="Times New Roman"/>
          <w:b/>
          <w:spacing w:val="-2"/>
          <w:sz w:val="18"/>
          <w:szCs w:val="18"/>
        </w:rPr>
        <w:tab/>
        <w:t>BVerfGE 9, 223 –</w:t>
      </w:r>
      <w:r w:rsidRPr="001839F2">
        <w:rPr>
          <w:rFonts w:ascii="Times New Roman" w:hAnsi="Times New Roman"/>
          <w:spacing w:val="-2"/>
          <w:sz w:val="18"/>
          <w:szCs w:val="18"/>
        </w:rPr>
        <w:t xml:space="preserve"> Begünstigung (Zulässigkeit der „beweglichen Zuständigkeit); </w:t>
      </w:r>
      <w:r w:rsidRPr="001839F2">
        <w:rPr>
          <w:rFonts w:ascii="Times New Roman" w:hAnsi="Times New Roman"/>
          <w:b/>
          <w:spacing w:val="-2"/>
          <w:sz w:val="18"/>
          <w:szCs w:val="18"/>
        </w:rPr>
        <w:t>BVerfGE 20, 336</w:t>
      </w:r>
      <w:r w:rsidRPr="001839F2">
        <w:rPr>
          <w:rFonts w:ascii="Times New Roman" w:hAnsi="Times New Roman"/>
          <w:spacing w:val="-2"/>
          <w:sz w:val="18"/>
          <w:szCs w:val="18"/>
        </w:rPr>
        <w:t xml:space="preserve"> – Trunkenheit</w:t>
      </w:r>
      <w:r w:rsidRPr="00F600A7">
        <w:rPr>
          <w:rFonts w:ascii="Times New Roman" w:hAnsi="Times New Roman"/>
          <w:spacing w:val="-2"/>
          <w:sz w:val="18"/>
          <w:szCs w:val="18"/>
        </w:rPr>
        <w:t>sfahrt (</w:t>
      </w:r>
      <w:proofErr w:type="spellStart"/>
      <w:r w:rsidRPr="00F600A7">
        <w:rPr>
          <w:rFonts w:ascii="Times New Roman" w:hAnsi="Times New Roman"/>
          <w:spacing w:val="-2"/>
          <w:sz w:val="18"/>
          <w:szCs w:val="18"/>
        </w:rPr>
        <w:t>Gerichtsstandsbestimmung</w:t>
      </w:r>
      <w:proofErr w:type="spellEnd"/>
      <w:r w:rsidRPr="00F600A7">
        <w:rPr>
          <w:rFonts w:ascii="Times New Roman" w:hAnsi="Times New Roman"/>
          <w:spacing w:val="-2"/>
          <w:sz w:val="18"/>
          <w:szCs w:val="18"/>
        </w:rPr>
        <w:t xml:space="preserve"> durch den BGH); </w:t>
      </w:r>
      <w:r w:rsidRPr="00F600A7">
        <w:rPr>
          <w:rFonts w:ascii="Times New Roman" w:hAnsi="Times New Roman"/>
          <w:b/>
          <w:spacing w:val="-2"/>
          <w:sz w:val="18"/>
          <w:szCs w:val="18"/>
        </w:rPr>
        <w:t xml:space="preserve">BVerfGE 22, 254 </w:t>
      </w:r>
      <w:r w:rsidRPr="00F600A7">
        <w:rPr>
          <w:rFonts w:ascii="Times New Roman" w:hAnsi="Times New Roman"/>
          <w:spacing w:val="-2"/>
          <w:sz w:val="18"/>
          <w:szCs w:val="18"/>
        </w:rPr>
        <w:t>– Einzelrichter (Zulässigkeit der „beweglichen Zuständigkeit</w:t>
      </w:r>
      <w:r w:rsidR="00D7507F" w:rsidRPr="00F600A7">
        <w:rPr>
          <w:rFonts w:ascii="Times New Roman" w:hAnsi="Times New Roman"/>
          <w:spacing w:val="-2"/>
          <w:sz w:val="18"/>
          <w:szCs w:val="18"/>
        </w:rPr>
        <w:t>“</w:t>
      </w:r>
      <w:r w:rsidRPr="00F600A7">
        <w:rPr>
          <w:rFonts w:ascii="Times New Roman" w:hAnsi="Times New Roman"/>
          <w:spacing w:val="-2"/>
          <w:sz w:val="18"/>
          <w:szCs w:val="18"/>
        </w:rPr>
        <w:t xml:space="preserve">); </w:t>
      </w:r>
      <w:r w:rsidRPr="00F600A7">
        <w:rPr>
          <w:rFonts w:ascii="Times New Roman" w:hAnsi="Times New Roman"/>
          <w:b/>
          <w:spacing w:val="-2"/>
          <w:sz w:val="18"/>
          <w:szCs w:val="18"/>
        </w:rPr>
        <w:t xml:space="preserve">BGHSt 43, 53 </w:t>
      </w:r>
      <w:r w:rsidRPr="00F600A7">
        <w:rPr>
          <w:rFonts w:ascii="Times New Roman" w:hAnsi="Times New Roman"/>
          <w:spacing w:val="-2"/>
          <w:sz w:val="18"/>
          <w:szCs w:val="18"/>
        </w:rPr>
        <w:t xml:space="preserve">– Unterbezahlung (Besondere Bedeutung des Falles); </w:t>
      </w:r>
      <w:r w:rsidRPr="00F600A7">
        <w:rPr>
          <w:rFonts w:ascii="Times New Roman" w:hAnsi="Times New Roman"/>
          <w:b/>
          <w:spacing w:val="-2"/>
          <w:sz w:val="18"/>
          <w:szCs w:val="18"/>
        </w:rPr>
        <w:t>BGHSt 44, 34</w:t>
      </w:r>
      <w:r w:rsidRPr="00F600A7">
        <w:rPr>
          <w:rFonts w:ascii="Times New Roman" w:hAnsi="Times New Roman"/>
          <w:spacing w:val="-2"/>
          <w:sz w:val="18"/>
          <w:szCs w:val="18"/>
        </w:rPr>
        <w:t xml:space="preserve"> – Castor (Besondere Bedeutung des Falles);</w:t>
      </w:r>
      <w:r w:rsidRPr="00F600A7">
        <w:rPr>
          <w:rFonts w:ascii="Times New Roman" w:hAnsi="Times New Roman"/>
          <w:b/>
          <w:spacing w:val="-2"/>
          <w:sz w:val="18"/>
          <w:szCs w:val="18"/>
        </w:rPr>
        <w:t xml:space="preserve"> BGHSt 46, 238 </w:t>
      </w:r>
      <w:r w:rsidRPr="00F600A7">
        <w:rPr>
          <w:rFonts w:ascii="Times New Roman" w:hAnsi="Times New Roman"/>
          <w:spacing w:val="-2"/>
          <w:sz w:val="18"/>
          <w:szCs w:val="18"/>
        </w:rPr>
        <w:t xml:space="preserve">– Eggesin (Zuständigkeit des OLG); </w:t>
      </w:r>
      <w:r w:rsidRPr="000B1FAF">
        <w:rPr>
          <w:rFonts w:ascii="Times New Roman" w:hAnsi="Times New Roman"/>
          <w:b/>
          <w:spacing w:val="-2"/>
          <w:sz w:val="18"/>
          <w:szCs w:val="18"/>
        </w:rPr>
        <w:t>BGHSt 47,</w:t>
      </w:r>
      <w:r w:rsidR="00F37165">
        <w:rPr>
          <w:rFonts w:ascii="Times New Roman" w:hAnsi="Times New Roman"/>
          <w:b/>
          <w:spacing w:val="-2"/>
          <w:sz w:val="18"/>
          <w:szCs w:val="18"/>
        </w:rPr>
        <w:t xml:space="preserve"> </w:t>
      </w:r>
      <w:r w:rsidRPr="000B1FAF">
        <w:rPr>
          <w:rFonts w:ascii="Times New Roman" w:hAnsi="Times New Roman"/>
          <w:b/>
          <w:spacing w:val="-2"/>
          <w:sz w:val="18"/>
          <w:szCs w:val="18"/>
        </w:rPr>
        <w:t>16</w:t>
      </w:r>
      <w:r w:rsidRPr="000B1FAF">
        <w:rPr>
          <w:rFonts w:ascii="Times New Roman" w:hAnsi="Times New Roman"/>
          <w:spacing w:val="-2"/>
          <w:sz w:val="18"/>
          <w:szCs w:val="18"/>
        </w:rPr>
        <w:t xml:space="preserve"> – Kindlicher Zeuge (Bedeutung des Falles).</w:t>
      </w:r>
    </w:p>
    <w:sectPr w:rsidR="00FC72DA" w:rsidRPr="000B1FAF" w:rsidSect="00FC72DA">
      <w:pgSz w:w="11906" w:h="16838"/>
      <w:pgMar w:top="567" w:right="567"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A005" w14:textId="77777777" w:rsidR="00B379DC" w:rsidRDefault="00B379DC">
      <w:pPr>
        <w:widowControl/>
        <w:spacing w:line="-20" w:lineRule="auto"/>
      </w:pPr>
    </w:p>
  </w:endnote>
  <w:endnote w:type="continuationSeparator" w:id="0">
    <w:p w14:paraId="15BE13B5" w14:textId="77777777" w:rsidR="00B379DC" w:rsidRDefault="00B379DC">
      <w:r>
        <w:t xml:space="preserve"> </w:t>
      </w:r>
    </w:p>
  </w:endnote>
  <w:endnote w:type="continuationNotice" w:id="1">
    <w:p w14:paraId="782E380E" w14:textId="77777777" w:rsidR="00B379DC" w:rsidRDefault="00B379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D0DC" w14:textId="77777777" w:rsidR="00B379DC" w:rsidRDefault="00B379DC">
      <w:r>
        <w:separator/>
      </w:r>
    </w:p>
  </w:footnote>
  <w:footnote w:type="continuationSeparator" w:id="0">
    <w:p w14:paraId="078FD99F" w14:textId="77777777" w:rsidR="00B379DC" w:rsidRDefault="00B37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2018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0572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clean"/>
  <w:trackRevisions/>
  <w:defaultTabStop w:val="720"/>
  <w:autoHyphenation/>
  <w:hyphenationZone w:val="51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E"/>
    <w:rsid w:val="00026FD9"/>
    <w:rsid w:val="00035810"/>
    <w:rsid w:val="000400C1"/>
    <w:rsid w:val="000A3103"/>
    <w:rsid w:val="000A3325"/>
    <w:rsid w:val="000B1FAF"/>
    <w:rsid w:val="000C021F"/>
    <w:rsid w:val="000F2402"/>
    <w:rsid w:val="0015656E"/>
    <w:rsid w:val="001801F1"/>
    <w:rsid w:val="001839F2"/>
    <w:rsid w:val="002267A4"/>
    <w:rsid w:val="002472AE"/>
    <w:rsid w:val="00252980"/>
    <w:rsid w:val="002672B6"/>
    <w:rsid w:val="002A305F"/>
    <w:rsid w:val="002B1D18"/>
    <w:rsid w:val="002D5C8B"/>
    <w:rsid w:val="002E47A5"/>
    <w:rsid w:val="003218BC"/>
    <w:rsid w:val="00330C99"/>
    <w:rsid w:val="00340060"/>
    <w:rsid w:val="00350AAD"/>
    <w:rsid w:val="0035781E"/>
    <w:rsid w:val="003C01B5"/>
    <w:rsid w:val="0042089D"/>
    <w:rsid w:val="004528E9"/>
    <w:rsid w:val="0046146C"/>
    <w:rsid w:val="00464F4E"/>
    <w:rsid w:val="004821EA"/>
    <w:rsid w:val="00486516"/>
    <w:rsid w:val="004B7D5B"/>
    <w:rsid w:val="004C635C"/>
    <w:rsid w:val="004E183E"/>
    <w:rsid w:val="004F3B83"/>
    <w:rsid w:val="00525D0A"/>
    <w:rsid w:val="005310BA"/>
    <w:rsid w:val="005356A3"/>
    <w:rsid w:val="00542DEB"/>
    <w:rsid w:val="00560867"/>
    <w:rsid w:val="00567B1A"/>
    <w:rsid w:val="005B32AF"/>
    <w:rsid w:val="005D1EB4"/>
    <w:rsid w:val="005E5724"/>
    <w:rsid w:val="00613AB3"/>
    <w:rsid w:val="006673FC"/>
    <w:rsid w:val="006948B9"/>
    <w:rsid w:val="006A4B33"/>
    <w:rsid w:val="006C068C"/>
    <w:rsid w:val="006E696F"/>
    <w:rsid w:val="0071020A"/>
    <w:rsid w:val="00726917"/>
    <w:rsid w:val="007517E9"/>
    <w:rsid w:val="00780CA3"/>
    <w:rsid w:val="00784552"/>
    <w:rsid w:val="007B6EFC"/>
    <w:rsid w:val="007F07E8"/>
    <w:rsid w:val="007F51C5"/>
    <w:rsid w:val="008213D0"/>
    <w:rsid w:val="00822EB1"/>
    <w:rsid w:val="00823DA0"/>
    <w:rsid w:val="00836894"/>
    <w:rsid w:val="0084129F"/>
    <w:rsid w:val="00844CB9"/>
    <w:rsid w:val="0087043E"/>
    <w:rsid w:val="0092043C"/>
    <w:rsid w:val="009418FE"/>
    <w:rsid w:val="0094460F"/>
    <w:rsid w:val="00947598"/>
    <w:rsid w:val="00992EB1"/>
    <w:rsid w:val="009B23A2"/>
    <w:rsid w:val="009F6573"/>
    <w:rsid w:val="00A23C89"/>
    <w:rsid w:val="00A56DA2"/>
    <w:rsid w:val="00A70960"/>
    <w:rsid w:val="00A9566A"/>
    <w:rsid w:val="00AA7ACF"/>
    <w:rsid w:val="00AE0E1D"/>
    <w:rsid w:val="00B379DC"/>
    <w:rsid w:val="00B438CD"/>
    <w:rsid w:val="00B76AC5"/>
    <w:rsid w:val="00C02E37"/>
    <w:rsid w:val="00C04A30"/>
    <w:rsid w:val="00C43741"/>
    <w:rsid w:val="00C5345D"/>
    <w:rsid w:val="00C733D6"/>
    <w:rsid w:val="00C838D4"/>
    <w:rsid w:val="00CD1D32"/>
    <w:rsid w:val="00CF57DB"/>
    <w:rsid w:val="00D13527"/>
    <w:rsid w:val="00D25A8E"/>
    <w:rsid w:val="00D36AD4"/>
    <w:rsid w:val="00D57677"/>
    <w:rsid w:val="00D7507F"/>
    <w:rsid w:val="00D91234"/>
    <w:rsid w:val="00D95148"/>
    <w:rsid w:val="00DB0B69"/>
    <w:rsid w:val="00E41B84"/>
    <w:rsid w:val="00E80B18"/>
    <w:rsid w:val="00E93A1B"/>
    <w:rsid w:val="00F145FD"/>
    <w:rsid w:val="00F250E6"/>
    <w:rsid w:val="00F37165"/>
    <w:rsid w:val="00F600A7"/>
    <w:rsid w:val="00F63EC9"/>
    <w:rsid w:val="00F835D4"/>
    <w:rsid w:val="00FC7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D1720D"/>
  <w15:chartTrackingRefBased/>
  <w15:docId w15:val="{EDA35491-ED5A-475D-83D5-65B39D6A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cs="Arial Narrow"/>
      <w:noProof w:val="0"/>
      <w:sz w:val="16"/>
      <w:szCs w:val="16"/>
      <w:lang w:val="en-US"/>
    </w:rPr>
  </w:style>
  <w:style w:type="character" w:customStyle="1" w:styleId="berschr-1">
    <w:name w:val="Überschr-1"/>
    <w:rPr>
      <w:rFonts w:ascii="Dutch Roman 12pt" w:hAnsi="Dutch Roman 12pt" w:cs="Arial Narrow"/>
      <w:noProof w:val="0"/>
      <w:sz w:val="24"/>
      <w:szCs w:val="24"/>
      <w:lang w:val="en-US"/>
    </w:rPr>
  </w:style>
  <w:style w:type="character" w:customStyle="1" w:styleId="berschr-2">
    <w:name w:val="Überschr-2"/>
    <w:rPr>
      <w:rFonts w:ascii="Dutch Roman 12pt" w:hAnsi="Dutch Roman 12pt" w:cs="Arial Narrow"/>
      <w:noProof w:val="0"/>
      <w:sz w:val="24"/>
      <w:szCs w:val="24"/>
      <w:lang w:val="en-US"/>
    </w:rPr>
  </w:style>
  <w:style w:type="character" w:customStyle="1" w:styleId="berschr-3">
    <w:name w:val="Überschr-3"/>
    <w:rPr>
      <w:rFonts w:ascii="Dutch Roman 12pt" w:hAnsi="Dutch Roman 12pt" w:cs="Arial Narrow"/>
      <w:noProof w:val="0"/>
      <w:sz w:val="24"/>
      <w:szCs w:val="24"/>
      <w:lang w:val="en-US"/>
    </w:rPr>
  </w:style>
  <w:style w:type="character" w:customStyle="1" w:styleId="berschr-4">
    <w:name w:val="Überschr-4"/>
    <w:rPr>
      <w:rFonts w:ascii="Dutch Roman 12pt" w:hAnsi="Dutch Roman 12pt" w:cs="Arial Narrow"/>
      <w:noProof w:val="0"/>
      <w:sz w:val="24"/>
      <w:szCs w:val="24"/>
      <w:lang w:val="en-US"/>
    </w:rPr>
  </w:style>
  <w:style w:type="character" w:customStyle="1" w:styleId="berschr-5">
    <w:name w:val="Überschr-5"/>
    <w:rPr>
      <w:rFonts w:ascii="Dutch Roman 12pt" w:hAnsi="Dutch Roman 12pt" w:cs="Arial Narrow"/>
      <w:noProof w:val="0"/>
      <w:sz w:val="24"/>
      <w:szCs w:val="24"/>
      <w:lang w:val="en-US"/>
    </w:rPr>
  </w:style>
  <w:style w:type="character" w:customStyle="1" w:styleId="Kopftext">
    <w:name w:val="Kopftext"/>
    <w:rPr>
      <w:rFonts w:ascii="Dutch Roman 12pt" w:hAnsi="Dutch Roman 12pt" w:cs="Arial Narrow"/>
      <w:noProof w:val="0"/>
      <w:sz w:val="24"/>
      <w:szCs w:val="24"/>
      <w:lang w:val="en-US"/>
    </w:rPr>
  </w:style>
  <w:style w:type="paragraph" w:styleId="Verzeichnis1">
    <w:name w:val="toc 1"/>
    <w:basedOn w:val="Standard"/>
    <w:next w:val="Standard"/>
    <w:autoRedefine/>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autoRedefine/>
    <w:semiHidden/>
    <w:pPr>
      <w:tabs>
        <w:tab w:val="right" w:leader="dot" w:pos="9360"/>
      </w:tabs>
      <w:suppressAutoHyphens/>
      <w:ind w:left="720" w:right="720"/>
    </w:pPr>
    <w:rPr>
      <w:lang w:val="en-US"/>
    </w:rPr>
  </w:style>
  <w:style w:type="paragraph" w:styleId="Verzeichnis3">
    <w:name w:val="toc 3"/>
    <w:basedOn w:val="Standard"/>
    <w:next w:val="Standard"/>
    <w:autoRedefine/>
    <w:semiHidden/>
    <w:pPr>
      <w:tabs>
        <w:tab w:val="right" w:leader="dot" w:pos="9360"/>
      </w:tabs>
      <w:suppressAutoHyphens/>
      <w:ind w:left="720" w:right="720"/>
    </w:pPr>
    <w:rPr>
      <w:lang w:val="en-US"/>
    </w:rPr>
  </w:style>
  <w:style w:type="paragraph" w:styleId="Verzeichnis4">
    <w:name w:val="toc 4"/>
    <w:basedOn w:val="Standard"/>
    <w:next w:val="Standard"/>
    <w:autoRedefine/>
    <w:semiHidden/>
    <w:pPr>
      <w:tabs>
        <w:tab w:val="right" w:leader="dot" w:pos="9360"/>
      </w:tabs>
      <w:suppressAutoHyphens/>
      <w:ind w:left="720" w:right="720"/>
    </w:pPr>
    <w:rPr>
      <w:lang w:val="en-US"/>
    </w:rPr>
  </w:style>
  <w:style w:type="paragraph" w:styleId="Verzeichnis5">
    <w:name w:val="toc 5"/>
    <w:basedOn w:val="Standard"/>
    <w:next w:val="Standard"/>
    <w:autoRedefine/>
    <w:semiHidden/>
    <w:pPr>
      <w:tabs>
        <w:tab w:val="right" w:leader="dot" w:pos="9360"/>
      </w:tabs>
      <w:suppressAutoHyphens/>
      <w:ind w:left="720" w:right="720"/>
    </w:pPr>
    <w:rPr>
      <w:lang w:val="en-US"/>
    </w:rPr>
  </w:style>
  <w:style w:type="paragraph" w:styleId="Verzeichnis6">
    <w:name w:val="toc 6"/>
    <w:basedOn w:val="Standard"/>
    <w:next w:val="Standard"/>
    <w:autoRedefine/>
    <w:semiHidden/>
    <w:pPr>
      <w:tabs>
        <w:tab w:val="right" w:pos="9360"/>
      </w:tabs>
      <w:suppressAutoHyphens/>
      <w:ind w:left="720" w:hanging="720"/>
    </w:pPr>
    <w:rPr>
      <w:lang w:val="en-US"/>
    </w:rPr>
  </w:style>
  <w:style w:type="paragraph" w:styleId="Verzeichnis7">
    <w:name w:val="toc 7"/>
    <w:basedOn w:val="Standard"/>
    <w:next w:val="Standard"/>
    <w:autoRedefine/>
    <w:semiHidden/>
    <w:pPr>
      <w:suppressAutoHyphens/>
      <w:ind w:left="720" w:hanging="720"/>
    </w:pPr>
    <w:rPr>
      <w:lang w:val="en-US"/>
    </w:rPr>
  </w:style>
  <w:style w:type="paragraph" w:styleId="Verzeichnis8">
    <w:name w:val="toc 8"/>
    <w:basedOn w:val="Standard"/>
    <w:next w:val="Standard"/>
    <w:autoRedefine/>
    <w:semiHidden/>
    <w:pPr>
      <w:tabs>
        <w:tab w:val="right" w:pos="9360"/>
      </w:tabs>
      <w:suppressAutoHyphens/>
      <w:ind w:left="720" w:hanging="720"/>
    </w:pPr>
    <w:rPr>
      <w:lang w:val="en-US"/>
    </w:rPr>
  </w:style>
  <w:style w:type="paragraph" w:styleId="Verzeichnis9">
    <w:name w:val="toc 9"/>
    <w:basedOn w:val="Standard"/>
    <w:next w:val="Standard"/>
    <w:autoRedefine/>
    <w:semiHidden/>
    <w:pPr>
      <w:tabs>
        <w:tab w:val="right" w:leader="dot" w:pos="9360"/>
      </w:tabs>
      <w:suppressAutoHyphens/>
      <w:ind w:left="720" w:hanging="720"/>
    </w:pPr>
    <w:rPr>
      <w:lang w:val="en-US"/>
    </w:rPr>
  </w:style>
  <w:style w:type="paragraph" w:styleId="Index1">
    <w:name w:val="index 1"/>
    <w:basedOn w:val="Standard"/>
    <w:next w:val="Standard"/>
    <w:autoRedefine/>
    <w:semiHidden/>
    <w:pPr>
      <w:tabs>
        <w:tab w:val="right" w:leader="dot" w:pos="9360"/>
      </w:tabs>
      <w:suppressAutoHyphens/>
      <w:ind w:left="720" w:hanging="720"/>
    </w:pPr>
    <w:rPr>
      <w:lang w:val="en-US"/>
    </w:rPr>
  </w:style>
  <w:style w:type="paragraph" w:styleId="Index2">
    <w:name w:val="index 2"/>
    <w:basedOn w:val="Standard"/>
    <w:next w:val="Standard"/>
    <w:autoRedefine/>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996844"/>
    <w:rPr>
      <w:rFonts w:ascii="Tahoma" w:hAnsi="Tahoma" w:cs="Tahoma"/>
      <w:sz w:val="16"/>
      <w:szCs w:val="16"/>
    </w:rPr>
  </w:style>
  <w:style w:type="paragraph" w:styleId="berarbeitung">
    <w:name w:val="Revision"/>
    <w:hidden/>
    <w:uiPriority w:val="71"/>
    <w:rsid w:val="005356A3"/>
    <w:rPr>
      <w:rFonts w:ascii="Dutch Roman 12pt" w:hAnsi="Dutch Roman 12pt" w:cs="Arial Narrow"/>
      <w:sz w:val="24"/>
      <w:szCs w:val="24"/>
    </w:rPr>
  </w:style>
  <w:style w:type="character" w:styleId="Kommentarzeichen">
    <w:name w:val="annotation reference"/>
    <w:uiPriority w:val="99"/>
    <w:semiHidden/>
    <w:unhideWhenUsed/>
    <w:rsid w:val="00B438CD"/>
    <w:rPr>
      <w:sz w:val="16"/>
      <w:szCs w:val="16"/>
    </w:rPr>
  </w:style>
  <w:style w:type="paragraph" w:styleId="Kommentartext">
    <w:name w:val="annotation text"/>
    <w:basedOn w:val="Standard"/>
    <w:link w:val="KommentartextZchn"/>
    <w:uiPriority w:val="99"/>
    <w:unhideWhenUsed/>
    <w:rsid w:val="00B438CD"/>
    <w:rPr>
      <w:sz w:val="20"/>
      <w:szCs w:val="20"/>
    </w:rPr>
  </w:style>
  <w:style w:type="character" w:customStyle="1" w:styleId="KommentartextZchn">
    <w:name w:val="Kommentartext Zchn"/>
    <w:link w:val="Kommentartext"/>
    <w:uiPriority w:val="99"/>
    <w:rsid w:val="00B438CD"/>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B438CD"/>
    <w:rPr>
      <w:b/>
      <w:bCs/>
    </w:rPr>
  </w:style>
  <w:style w:type="character" w:customStyle="1" w:styleId="KommentarthemaZchn">
    <w:name w:val="Kommentarthema Zchn"/>
    <w:link w:val="Kommentarthema"/>
    <w:uiPriority w:val="99"/>
    <w:semiHidden/>
    <w:rsid w:val="00B438CD"/>
    <w:rPr>
      <w:rFonts w:ascii="Dutch Roman 12pt" w:hAnsi="Dutch Roman 12pt" w:cs="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5721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 Dr. Bernd Heinrich</dc:creator>
  <cp:keywords/>
  <dc:description/>
  <cp:lastModifiedBy>Judith Schult</cp:lastModifiedBy>
  <cp:revision>2</cp:revision>
  <cp:lastPrinted>2020-10-16T11:51:00Z</cp:lastPrinted>
  <dcterms:created xsi:type="dcterms:W3CDTF">2024-10-04T13:24:00Z</dcterms:created>
  <dcterms:modified xsi:type="dcterms:W3CDTF">2024-10-04T13:24:00Z</dcterms:modified>
</cp:coreProperties>
</file>