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A657" w14:textId="00A27AFA" w:rsidR="008109C2" w:rsidRPr="00DC35C0" w:rsidRDefault="007A152F" w:rsidP="006C67DB">
      <w:pPr>
        <w:pStyle w:val="berschrift1"/>
        <w:tabs>
          <w:tab w:val="left" w:pos="8007"/>
        </w:tabs>
        <w:spacing w:before="54" w:line="221" w:lineRule="auto"/>
        <w:rPr>
          <w:b w:val="0"/>
          <w:bCs w:val="0"/>
          <w:lang w:val="de-DE"/>
        </w:rPr>
      </w:pPr>
      <w:r w:rsidRPr="00DC35C0">
        <w:rPr>
          <w:spacing w:val="-3"/>
          <w:lang w:val="de-DE"/>
        </w:rPr>
        <w:t xml:space="preserve">Prof. Dr. </w:t>
      </w:r>
      <w:r w:rsidR="00A95DEB">
        <w:rPr>
          <w:spacing w:val="-3"/>
          <w:lang w:val="de-DE"/>
        </w:rPr>
        <w:t xml:space="preserve">Dr. h.c. </w:t>
      </w:r>
      <w:r w:rsidRPr="00DC35C0">
        <w:rPr>
          <w:spacing w:val="-3"/>
          <w:lang w:val="de-DE"/>
        </w:rPr>
        <w:t>Bernd Heinrich/</w:t>
      </w:r>
      <w:r w:rsidR="00AF02AA" w:rsidRPr="00DC35C0">
        <w:rPr>
          <w:spacing w:val="-3"/>
          <w:lang w:val="de-DE"/>
        </w:rPr>
        <w:t>Pr</w:t>
      </w:r>
      <w:r w:rsidR="008F5316" w:rsidRPr="00DC35C0">
        <w:rPr>
          <w:spacing w:val="-3"/>
          <w:lang w:val="de-DE"/>
        </w:rPr>
        <w:t>of</w:t>
      </w:r>
      <w:r w:rsidR="00AF02AA" w:rsidRPr="00DC35C0">
        <w:rPr>
          <w:spacing w:val="-3"/>
          <w:lang w:val="de-DE"/>
        </w:rPr>
        <w:t xml:space="preserve">. </w:t>
      </w:r>
      <w:r w:rsidRPr="00DC35C0">
        <w:rPr>
          <w:spacing w:val="-3"/>
          <w:lang w:val="de-DE"/>
        </w:rPr>
        <w:t>Dr.</w:t>
      </w:r>
      <w:r w:rsidR="00B665E3" w:rsidRPr="00DC35C0">
        <w:rPr>
          <w:spacing w:val="-3"/>
          <w:lang w:val="de-DE"/>
        </w:rPr>
        <w:t xml:space="preserve"> </w:t>
      </w:r>
      <w:r w:rsidRPr="00DC35C0">
        <w:rPr>
          <w:lang w:val="de-DE"/>
        </w:rPr>
        <w:t>Tobias</w:t>
      </w:r>
      <w:r w:rsidRPr="00DC35C0">
        <w:rPr>
          <w:spacing w:val="23"/>
          <w:lang w:val="de-DE"/>
        </w:rPr>
        <w:t xml:space="preserve"> </w:t>
      </w:r>
      <w:r w:rsidRPr="00DC35C0">
        <w:rPr>
          <w:spacing w:val="-3"/>
          <w:lang w:val="de-DE"/>
        </w:rPr>
        <w:t>Reinbacher</w:t>
      </w:r>
      <w:r w:rsidRPr="00DC35C0">
        <w:rPr>
          <w:spacing w:val="-3"/>
          <w:lang w:val="de-DE"/>
        </w:rPr>
        <w:tab/>
        <w:t xml:space="preserve">Stand: </w:t>
      </w:r>
      <w:r w:rsidRPr="00DC35C0">
        <w:rPr>
          <w:lang w:val="de-DE"/>
        </w:rPr>
        <w:t xml:space="preserve">1. </w:t>
      </w:r>
      <w:r w:rsidR="00EE7FB6" w:rsidRPr="00DC35C0">
        <w:rPr>
          <w:spacing w:val="-3"/>
          <w:lang w:val="de-DE"/>
        </w:rPr>
        <w:t>Oktober</w:t>
      </w:r>
      <w:r w:rsidR="007E3227" w:rsidRPr="00DC35C0">
        <w:rPr>
          <w:spacing w:val="-9"/>
          <w:lang w:val="de-DE"/>
        </w:rPr>
        <w:t xml:space="preserve"> </w:t>
      </w:r>
      <w:r w:rsidR="002C107F" w:rsidRPr="00DC35C0">
        <w:rPr>
          <w:spacing w:val="-3"/>
          <w:lang w:val="de-DE"/>
        </w:rPr>
        <w:t>202</w:t>
      </w:r>
      <w:r w:rsidR="00FD7D1E">
        <w:rPr>
          <w:spacing w:val="-3"/>
          <w:lang w:val="de-DE"/>
        </w:rPr>
        <w:t>4</w:t>
      </w:r>
    </w:p>
    <w:p w14:paraId="56F432DE" w14:textId="77777777" w:rsidR="008109C2" w:rsidRPr="00DC35C0" w:rsidRDefault="008109C2" w:rsidP="006C67DB">
      <w:pPr>
        <w:spacing w:line="221" w:lineRule="auto"/>
        <w:rPr>
          <w:rFonts w:ascii="Times New Roman" w:eastAsia="Times New Roman" w:hAnsi="Times New Roman"/>
          <w:b/>
          <w:bCs/>
          <w:sz w:val="20"/>
          <w:szCs w:val="20"/>
          <w:lang w:val="de-DE"/>
        </w:rPr>
      </w:pPr>
    </w:p>
    <w:p w14:paraId="715051A0" w14:textId="77777777" w:rsidR="008109C2" w:rsidRPr="00DC35C0" w:rsidRDefault="002C0352" w:rsidP="006C67DB">
      <w:pPr>
        <w:spacing w:before="11" w:line="221" w:lineRule="auto"/>
        <w:rPr>
          <w:rFonts w:ascii="Times New Roman" w:eastAsia="Times New Roman" w:hAnsi="Times New Roman"/>
          <w:b/>
          <w:bCs/>
          <w:sz w:val="15"/>
          <w:szCs w:val="15"/>
          <w:lang w:val="de-DE"/>
        </w:rPr>
      </w:pPr>
      <w:r w:rsidRPr="00DC35C0">
        <w:rPr>
          <w:noProof/>
          <w:lang w:val="de-DE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B3CAA3D" wp14:editId="4DB96CFA">
                <wp:simplePos x="0" y="0"/>
                <wp:positionH relativeFrom="page">
                  <wp:posOffset>707390</wp:posOffset>
                </wp:positionH>
                <wp:positionV relativeFrom="paragraph">
                  <wp:posOffset>137795</wp:posOffset>
                </wp:positionV>
                <wp:extent cx="6518275" cy="931545"/>
                <wp:effectExtent l="0" t="0" r="0" b="0"/>
                <wp:wrapTopAndBottom/>
                <wp:docPr id="1802182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8275" cy="9315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BBD73" w14:textId="77777777" w:rsidR="003D2E99" w:rsidRDefault="003D2E99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477FD612" w14:textId="2A7A5E5B" w:rsidR="003D2E99" w:rsidRPr="00C10242" w:rsidRDefault="003D2E99">
                            <w:pPr>
                              <w:ind w:left="2104" w:right="2113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1024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de-DE"/>
                              </w:rPr>
                              <w:t xml:space="preserve">Examinatorium Strafprozessrecht </w:t>
                            </w:r>
                            <w:r w:rsidRPr="00C1024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– </w:t>
                            </w:r>
                            <w:r w:rsidRPr="00C1024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de-DE"/>
                              </w:rPr>
                              <w:t>Arbeitsblatt Nr.</w:t>
                            </w:r>
                            <w:r w:rsidR="00FD7D1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6"/>
                                <w:sz w:val="24"/>
                                <w:szCs w:val="24"/>
                                <w:lang w:val="de-DE"/>
                              </w:rPr>
                              <w:t> </w:t>
                            </w:r>
                            <w:r w:rsidRPr="00C1024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10</w:t>
                            </w:r>
                          </w:p>
                          <w:p w14:paraId="0E443C98" w14:textId="77777777" w:rsidR="003D2E99" w:rsidRPr="00C10242" w:rsidRDefault="003D2E99">
                            <w:pPr>
                              <w:spacing w:before="14"/>
                              <w:ind w:left="2104" w:right="2118"/>
                              <w:jc w:val="center"/>
                              <w:rPr>
                                <w:rFonts w:ascii="Times New Roman" w:eastAsia="Times New Roman" w:hAnsi="Times New Roman"/>
                                <w:sz w:val="60"/>
                                <w:szCs w:val="60"/>
                                <w:lang w:val="de-DE"/>
                              </w:rPr>
                            </w:pPr>
                            <w:r w:rsidRPr="00C10242">
                              <w:rPr>
                                <w:rFonts w:ascii="Times New Roman"/>
                                <w:b/>
                                <w:spacing w:val="-9"/>
                                <w:sz w:val="60"/>
                                <w:lang w:val="de-DE"/>
                              </w:rPr>
                              <w:t>Prozessvoraussetzungen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B3CAA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7pt;margin-top:10.85pt;width:513.25pt;height:73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" fillcolor="#e6e6e6" strokeweight="1.44pt">
                <v:path arrowok="t"/>
                <v:textbox inset="0,0,0,0">
                  <w:txbxContent>
                    <w:p w14:paraId="515BBD73" w14:textId="77777777" w:rsidR="003D2E99" w:rsidRDefault="003D2E99">
                      <w:pPr>
                        <w:spacing w:before="6"/>
                        <w:rPr>
                          <w:rFonts w:ascii="Times New Roman" w:eastAsia="Times New Roman" w:hAnsi="Times New Roman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477FD612" w14:textId="2A7A5E5B" w:rsidR="003D2E99" w:rsidRPr="00C10242" w:rsidRDefault="003D2E99">
                      <w:pPr>
                        <w:ind w:left="2104" w:right="2113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de-DE"/>
                        </w:rPr>
                      </w:pPr>
                      <w:r w:rsidRPr="00C10242">
                        <w:rPr>
                          <w:rFonts w:ascii="Times New Roman" w:eastAsia="Times New Roman" w:hAnsi="Times New Roman"/>
                          <w:b/>
                          <w:bCs/>
                          <w:spacing w:val="-3"/>
                          <w:sz w:val="24"/>
                          <w:szCs w:val="24"/>
                          <w:lang w:val="de-DE"/>
                        </w:rPr>
                        <w:t xml:space="preserve">Examinatorium Strafprozessrecht </w:t>
                      </w:r>
                      <w:r w:rsidRPr="00C10242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de-DE"/>
                        </w:rPr>
                        <w:t xml:space="preserve">– </w:t>
                      </w:r>
                      <w:r w:rsidRPr="00C10242">
                        <w:rPr>
                          <w:rFonts w:ascii="Times New Roman" w:eastAsia="Times New Roman" w:hAnsi="Times New Roman"/>
                          <w:b/>
                          <w:bCs/>
                          <w:spacing w:val="-3"/>
                          <w:sz w:val="24"/>
                          <w:szCs w:val="24"/>
                          <w:lang w:val="de-DE"/>
                        </w:rPr>
                        <w:t>Arbeitsblatt Nr.</w:t>
                      </w:r>
                      <w:r w:rsidR="00FD7D1E">
                        <w:rPr>
                          <w:rFonts w:ascii="Times New Roman" w:eastAsia="Times New Roman" w:hAnsi="Times New Roman"/>
                          <w:b/>
                          <w:bCs/>
                          <w:spacing w:val="-16"/>
                          <w:sz w:val="24"/>
                          <w:szCs w:val="24"/>
                          <w:lang w:val="de-DE"/>
                        </w:rPr>
                        <w:t> </w:t>
                      </w:r>
                      <w:r w:rsidRPr="00C10242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de-DE"/>
                        </w:rPr>
                        <w:t>10</w:t>
                      </w:r>
                    </w:p>
                    <w:p w14:paraId="0E443C98" w14:textId="77777777" w:rsidR="003D2E99" w:rsidRPr="00C10242" w:rsidRDefault="003D2E99">
                      <w:pPr>
                        <w:spacing w:before="14"/>
                        <w:ind w:left="2104" w:right="2118"/>
                        <w:jc w:val="center"/>
                        <w:rPr>
                          <w:rFonts w:ascii="Times New Roman" w:eastAsia="Times New Roman" w:hAnsi="Times New Roman"/>
                          <w:sz w:val="60"/>
                          <w:szCs w:val="60"/>
                          <w:lang w:val="de-DE"/>
                        </w:rPr>
                      </w:pPr>
                      <w:r w:rsidRPr="00C10242">
                        <w:rPr>
                          <w:rFonts w:ascii="Times New Roman"/>
                          <w:b/>
                          <w:spacing w:val="-9"/>
                          <w:sz w:val="60"/>
                          <w:lang w:val="de-DE"/>
                        </w:rPr>
                        <w:t>Prozessvoraussetzungen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58654E" w14:textId="77777777" w:rsidR="008109C2" w:rsidRPr="00DC35C0" w:rsidRDefault="008109C2" w:rsidP="006C67DB">
      <w:pPr>
        <w:spacing w:line="221" w:lineRule="auto"/>
        <w:rPr>
          <w:rFonts w:ascii="Times New Roman" w:eastAsia="Times New Roman" w:hAnsi="Times New Roman"/>
          <w:b/>
          <w:bCs/>
          <w:sz w:val="16"/>
          <w:szCs w:val="16"/>
          <w:lang w:val="de-DE"/>
        </w:rPr>
      </w:pPr>
    </w:p>
    <w:p w14:paraId="273336AE" w14:textId="73588DFC" w:rsidR="008109C2" w:rsidRPr="00DC35C0" w:rsidRDefault="007A152F" w:rsidP="006C67DB">
      <w:pPr>
        <w:pStyle w:val="FarbigeSchattierung-Akzent31"/>
        <w:numPr>
          <w:ilvl w:val="0"/>
          <w:numId w:val="2"/>
        </w:numPr>
        <w:tabs>
          <w:tab w:val="left" w:pos="419"/>
        </w:tabs>
        <w:spacing w:line="218" w:lineRule="auto"/>
        <w:ind w:right="140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hAnsi="Times New Roman"/>
          <w:b/>
          <w:spacing w:val="-3"/>
          <w:sz w:val="16"/>
          <w:szCs w:val="16"/>
          <w:lang w:val="de-DE"/>
        </w:rPr>
        <w:t xml:space="preserve">Allgemeines: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Die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Prozess-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oder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Verfahrensvoraussetzungen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sind die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Bedingungen, welche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für ein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Sachurteil notwendig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sind. Man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unterscheidet positive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und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negative Prozessvoraussetzungen.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Die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zuerst genannten müssen vorliegen,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die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zuletzt genannten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dürfen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gerade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nicht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vorliegen.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Sind diese </w:t>
      </w:r>
      <w:r w:rsidRPr="00DC35C0">
        <w:rPr>
          <w:rFonts w:ascii="Times New Roman" w:hAnsi="Times New Roman"/>
          <w:spacing w:val="-4"/>
          <w:sz w:val="16"/>
          <w:szCs w:val="16"/>
          <w:lang w:val="de-DE"/>
        </w:rPr>
        <w:t xml:space="preserve">Kriterien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nicht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erfüllt,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so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besteht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ein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Verfahrenshindernis</w:t>
      </w:r>
      <w:r w:rsidR="00FD7D1E">
        <w:rPr>
          <w:rFonts w:ascii="Times New Roman" w:hAnsi="Times New Roman"/>
          <w:spacing w:val="-3"/>
          <w:sz w:val="16"/>
          <w:szCs w:val="16"/>
          <w:lang w:val="de-DE"/>
        </w:rPr>
        <w:t>, was</w:t>
      </w:r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 zur Folge</w:t>
      </w:r>
      <w:r w:rsidR="00FD7D1E">
        <w:rPr>
          <w:rFonts w:ascii="Times New Roman" w:hAnsi="Times New Roman"/>
          <w:spacing w:val="-3"/>
          <w:sz w:val="16"/>
          <w:szCs w:val="16"/>
          <w:lang w:val="de-DE"/>
        </w:rPr>
        <w:t xml:space="preserve"> hat</w:t>
      </w:r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>, dass keine Sachentscheidung ergehen darf. Die Prozessvoraussetzungen sind während des gesamten Verfahrens von Amts wegen zu überprüfen.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 </w:t>
      </w:r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Diese Prüfung kann im Wege des Freibeweisverfahrens – also ohne Bindung an die </w:t>
      </w:r>
      <w:r w:rsidR="00AF02AA" w:rsidRPr="00DC35C0">
        <w:rPr>
          <w:rFonts w:ascii="Times New Roman" w:hAnsi="Times New Roman"/>
          <w:spacing w:val="-3"/>
          <w:sz w:val="16"/>
          <w:szCs w:val="16"/>
          <w:lang w:val="de-DE"/>
        </w:rPr>
        <w:t>förmlichen</w:t>
      </w:r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 Beweismittel</w:t>
      </w:r>
      <w:r w:rsidR="00AF02AA"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 der StPO</w:t>
      </w:r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 – stattfinden.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 Ein </w:t>
      </w:r>
      <w:proofErr w:type="gramStart"/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durchaus streitiges</w:t>
      </w:r>
      <w:proofErr w:type="gramEnd"/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b/>
          <w:spacing w:val="-3"/>
          <w:sz w:val="16"/>
          <w:szCs w:val="16"/>
          <w:lang w:val="de-DE"/>
        </w:rPr>
        <w:t xml:space="preserve">Problem </w:t>
      </w:r>
      <w:r w:rsidRPr="00DC35C0">
        <w:rPr>
          <w:rFonts w:ascii="Times New Roman" w:hAnsi="Times New Roman"/>
          <w:sz w:val="16"/>
          <w:szCs w:val="16"/>
          <w:lang w:val="de-DE"/>
        </w:rPr>
        <w:t>be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reitet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die </w:t>
      </w:r>
      <w:r w:rsidRPr="00DC35C0">
        <w:rPr>
          <w:rFonts w:ascii="Times New Roman" w:hAnsi="Times New Roman"/>
          <w:spacing w:val="-4"/>
          <w:sz w:val="16"/>
          <w:szCs w:val="16"/>
          <w:lang w:val="de-DE"/>
        </w:rPr>
        <w:t xml:space="preserve">Frage,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ob der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Zweifelssatz </w:t>
      </w:r>
      <w:r w:rsidRPr="00DC35C0">
        <w:rPr>
          <w:rFonts w:ascii="Times New Roman" w:hAnsi="Times New Roman"/>
          <w:i/>
          <w:sz w:val="16"/>
          <w:szCs w:val="16"/>
          <w:lang w:val="de-DE"/>
        </w:rPr>
        <w:t xml:space="preserve">in dubio pro reo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auch auf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Prozessvoraussetzungen angewandt werden kann. Dies wurde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früher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überwiegend verneint, wird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heute aber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teilweise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unter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Hinweis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auf die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fundamentale Bedeutung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Prozessvoraussetzungen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für den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Betroffenen angenommen.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Der BGH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differenziert zwischen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den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einzelnen Prozessvoraussetzungen, nimmt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eine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Anwendbarkeit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aber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immerhin</w:t>
      </w:r>
      <w:r w:rsidRPr="00DC35C0">
        <w:rPr>
          <w:rFonts w:ascii="Times New Roman" w:hAns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für</w:t>
      </w:r>
      <w:r w:rsidRPr="00DC35C0">
        <w:rPr>
          <w:rFonts w:ascii="Times New Roman" w:hAnsi="Times New Roman"/>
          <w:spacing w:val="-9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die</w:t>
      </w:r>
      <w:r w:rsidRPr="00DC35C0">
        <w:rPr>
          <w:rFonts w:ascii="Times New Roman" w:hAns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Verjährung</w:t>
      </w:r>
      <w:r w:rsidRPr="00DC35C0">
        <w:rPr>
          <w:rFonts w:ascii="Times New Roman" w:hAnsi="Times New Roman"/>
          <w:spacing w:val="-9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an</w:t>
      </w:r>
      <w:r w:rsidRPr="00DC35C0">
        <w:rPr>
          <w:rFonts w:ascii="Times New Roman" w:hAns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(</w:t>
      </w:r>
      <w:r w:rsidRPr="00DC35C0">
        <w:rPr>
          <w:rFonts w:ascii="Times New Roman" w:hAnsi="Times New Roman"/>
          <w:b/>
          <w:spacing w:val="-3"/>
          <w:sz w:val="16"/>
          <w:szCs w:val="16"/>
          <w:lang w:val="de-DE"/>
        </w:rPr>
        <w:t>BGHSt</w:t>
      </w:r>
      <w:r w:rsidRPr="00DC35C0">
        <w:rPr>
          <w:rFonts w:ascii="Times New Roman" w:hAnsi="Times New Roman"/>
          <w:b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b/>
          <w:sz w:val="16"/>
          <w:szCs w:val="16"/>
          <w:lang w:val="de-DE"/>
        </w:rPr>
        <w:t>18,</w:t>
      </w:r>
      <w:r w:rsidRPr="00DC35C0">
        <w:rPr>
          <w:rFonts w:ascii="Times New Roman" w:hAnsi="Times New Roman"/>
          <w:b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b/>
          <w:sz w:val="16"/>
          <w:szCs w:val="16"/>
          <w:lang w:val="de-DE"/>
        </w:rPr>
        <w:t>274</w:t>
      </w:r>
      <w:r w:rsidRPr="00DC35C0">
        <w:rPr>
          <w:rFonts w:ascii="Times New Roman" w:hAnsi="Times New Roman"/>
          <w:sz w:val="16"/>
          <w:szCs w:val="16"/>
          <w:lang w:val="de-DE"/>
        </w:rPr>
        <w:t>).</w:t>
      </w:r>
    </w:p>
    <w:p w14:paraId="72C586C7" w14:textId="77777777" w:rsidR="008109C2" w:rsidRPr="00DC35C0" w:rsidRDefault="007A152F" w:rsidP="006C67DB">
      <w:pPr>
        <w:pStyle w:val="berschrift2"/>
        <w:numPr>
          <w:ilvl w:val="0"/>
          <w:numId w:val="2"/>
        </w:numPr>
        <w:tabs>
          <w:tab w:val="left" w:pos="371"/>
        </w:tabs>
        <w:spacing w:before="0" w:line="218" w:lineRule="auto"/>
        <w:ind w:left="370" w:hanging="235"/>
        <w:rPr>
          <w:b w:val="0"/>
          <w:bCs w:val="0"/>
          <w:sz w:val="16"/>
          <w:szCs w:val="16"/>
          <w:lang w:val="de-DE"/>
        </w:rPr>
      </w:pPr>
      <w:r w:rsidRPr="00DC35C0">
        <w:rPr>
          <w:sz w:val="16"/>
          <w:szCs w:val="16"/>
          <w:lang w:val="de-DE"/>
        </w:rPr>
        <w:t xml:space="preserve">Die </w:t>
      </w:r>
      <w:r w:rsidRPr="00DC35C0">
        <w:rPr>
          <w:spacing w:val="-3"/>
          <w:sz w:val="16"/>
          <w:szCs w:val="16"/>
          <w:lang w:val="de-DE"/>
        </w:rPr>
        <w:t>wichtigsten positiven</w:t>
      </w:r>
      <w:r w:rsidRPr="00DC35C0">
        <w:rPr>
          <w:spacing w:val="-14"/>
          <w:sz w:val="16"/>
          <w:szCs w:val="16"/>
          <w:lang w:val="de-DE"/>
        </w:rPr>
        <w:t xml:space="preserve"> </w:t>
      </w:r>
      <w:r w:rsidRPr="00DC35C0">
        <w:rPr>
          <w:spacing w:val="-3"/>
          <w:sz w:val="16"/>
          <w:szCs w:val="16"/>
          <w:lang w:val="de-DE"/>
        </w:rPr>
        <w:t>Prozessvoraussetzungen:</w:t>
      </w:r>
    </w:p>
    <w:p w14:paraId="1ED06AC5" w14:textId="4D46441C" w:rsidR="008109C2" w:rsidRPr="00DC35C0" w:rsidRDefault="007A152F" w:rsidP="006C67DB">
      <w:pPr>
        <w:pStyle w:val="FarbigeSchattierung-Akzent31"/>
        <w:numPr>
          <w:ilvl w:val="1"/>
          <w:numId w:val="2"/>
        </w:numPr>
        <w:tabs>
          <w:tab w:val="left" w:pos="688"/>
        </w:tabs>
        <w:spacing w:line="218" w:lineRule="auto"/>
        <w:ind w:hanging="283"/>
        <w:rPr>
          <w:rFonts w:ascii="Times New Roman" w:hAnsi="Times New Roman"/>
          <w:sz w:val="16"/>
          <w:szCs w:val="16"/>
          <w:lang w:val="de-DE"/>
        </w:rPr>
      </w:pP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Deutsche Gerichtsbarkeit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: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Die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Nicht-Anwendbarkeit deutschen Strafrechts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für den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transnationalen Bereich gemäß </w:t>
      </w:r>
      <w:r w:rsidRPr="00DC35C0">
        <w:rPr>
          <w:rFonts w:ascii="Times New Roman" w:hAnsi="Times New Roman"/>
          <w:sz w:val="16"/>
          <w:szCs w:val="16"/>
          <w:lang w:val="de-DE"/>
        </w:rPr>
        <w:t>den</w:t>
      </w:r>
      <w:r w:rsidR="003E58EA" w:rsidRPr="00DC35C0">
        <w:rPr>
          <w:rFonts w:ascii="Times New Roman" w:hAnsi="Times New Roman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§§</w:t>
      </w:r>
      <w:r w:rsidR="00FD7D1E">
        <w:rPr>
          <w:rFonts w:ascii="Times New Roman" w:hAnsi="Times New Roman"/>
          <w:sz w:val="16"/>
          <w:szCs w:val="16"/>
          <w:lang w:val="de-DE"/>
        </w:rPr>
        <w:t> </w:t>
      </w:r>
      <w:r w:rsidRPr="00DC35C0">
        <w:rPr>
          <w:rFonts w:ascii="Times New Roman" w:hAnsi="Times New Roman"/>
          <w:sz w:val="16"/>
          <w:szCs w:val="16"/>
          <w:lang w:val="de-DE"/>
        </w:rPr>
        <w:t>3</w:t>
      </w:r>
      <w:r w:rsidR="00FD7D1E">
        <w:rPr>
          <w:rFonts w:ascii="Times New Roman" w:hAnsi="Times New Roman"/>
          <w:sz w:val="16"/>
          <w:szCs w:val="16"/>
          <w:lang w:val="de-DE"/>
        </w:rPr>
        <w:t> 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ff.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StGB begründet </w:t>
      </w:r>
      <w:r w:rsidRPr="00DC35C0">
        <w:rPr>
          <w:rFonts w:ascii="Times New Roman" w:hAnsi="Times New Roman"/>
          <w:sz w:val="16"/>
          <w:szCs w:val="16"/>
          <w:lang w:val="de-DE"/>
        </w:rPr>
        <w:t>ein</w:t>
      </w:r>
      <w:r w:rsidR="009234A3" w:rsidRPr="00DC35C0">
        <w:rPr>
          <w:rFonts w:ascii="Times New Roman" w:hAnsi="Times New Roman"/>
          <w:spacing w:val="-18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Verfahrenshindernis.</w:t>
      </w:r>
    </w:p>
    <w:p w14:paraId="3C9CBF63" w14:textId="1F4DA735" w:rsidR="008109C2" w:rsidRPr="00DC35C0" w:rsidRDefault="007A152F" w:rsidP="006C67DB">
      <w:pPr>
        <w:pStyle w:val="FarbigeSchattierung-Akzent31"/>
        <w:numPr>
          <w:ilvl w:val="1"/>
          <w:numId w:val="2"/>
        </w:numPr>
        <w:tabs>
          <w:tab w:val="left" w:pos="702"/>
        </w:tabs>
        <w:spacing w:line="218" w:lineRule="auto"/>
        <w:ind w:hanging="283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Rechtsweg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:</w:t>
      </w:r>
      <w:r w:rsidRPr="00DC35C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Es</w:t>
      </w:r>
      <w:r w:rsidRPr="00DC35C0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muss</w:t>
      </w:r>
      <w:r w:rsidRPr="00DC35C0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sich</w:t>
      </w:r>
      <w:r w:rsidRPr="00DC35C0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um</w:t>
      </w:r>
      <w:r w:rsidRPr="00DC35C0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eine</w:t>
      </w:r>
      <w:r w:rsidRPr="00DC35C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Strafsache</w:t>
      </w:r>
      <w:r w:rsidRPr="00DC35C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handeln,</w:t>
      </w:r>
      <w:r w:rsidRPr="00DC35C0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FD7D1E">
        <w:rPr>
          <w:rFonts w:ascii="Times New Roman" w:eastAsia="Times New Roman" w:hAnsi="Times New Roman"/>
          <w:spacing w:val="-6"/>
          <w:sz w:val="16"/>
          <w:szCs w:val="16"/>
          <w:lang w:val="de-DE"/>
        </w:rPr>
        <w:t> 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13</w:t>
      </w:r>
      <w:r w:rsidRPr="00DC35C0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GVG.</w:t>
      </w:r>
    </w:p>
    <w:p w14:paraId="64671F2A" w14:textId="05FB2B50" w:rsidR="00D75ADA" w:rsidRPr="00DC35C0" w:rsidRDefault="007A152F" w:rsidP="006C67DB">
      <w:pPr>
        <w:pStyle w:val="FarbigeSchattierung-Akzent31"/>
        <w:numPr>
          <w:ilvl w:val="1"/>
          <w:numId w:val="2"/>
        </w:numPr>
        <w:tabs>
          <w:tab w:val="left" w:pos="702"/>
        </w:tabs>
        <w:spacing w:line="218" w:lineRule="auto"/>
        <w:ind w:left="418" w:right="2974" w:firstLine="0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Sachliche</w:t>
      </w:r>
      <w:r w:rsidRPr="00DC35C0">
        <w:rPr>
          <w:rFonts w:ascii="Times New Roman" w:eastAsia="Times New Roman" w:hAnsi="Times New Roman"/>
          <w:spacing w:val="-7"/>
          <w:sz w:val="16"/>
          <w:szCs w:val="16"/>
          <w:u w:val="single" w:color="000000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u w:val="single" w:color="000000"/>
          <w:lang w:val="de-DE"/>
        </w:rPr>
        <w:t>und</w:t>
      </w:r>
      <w:r w:rsidRPr="00DC35C0">
        <w:rPr>
          <w:rFonts w:ascii="Times New Roman" w:eastAsia="Times New Roman" w:hAnsi="Times New Roman"/>
          <w:spacing w:val="-6"/>
          <w:sz w:val="16"/>
          <w:szCs w:val="16"/>
          <w:u w:val="single" w:color="000000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örtliche</w:t>
      </w:r>
      <w:r w:rsidRPr="00DC35C0">
        <w:rPr>
          <w:rFonts w:ascii="Times New Roman" w:eastAsia="Times New Roman" w:hAnsi="Times New Roman"/>
          <w:spacing w:val="-7"/>
          <w:sz w:val="16"/>
          <w:szCs w:val="16"/>
          <w:u w:val="single" w:color="000000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Zuständigkeit</w:t>
      </w:r>
      <w:r w:rsidRPr="00DC35C0">
        <w:rPr>
          <w:rFonts w:ascii="Times New Roman" w:eastAsia="Times New Roman" w:hAnsi="Times New Roman"/>
          <w:spacing w:val="-7"/>
          <w:sz w:val="16"/>
          <w:szCs w:val="16"/>
          <w:u w:val="single" w:color="000000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u w:val="single" w:color="000000"/>
          <w:lang w:val="de-DE"/>
        </w:rPr>
        <w:t>des</w:t>
      </w:r>
      <w:r w:rsidRPr="00DC35C0">
        <w:rPr>
          <w:rFonts w:ascii="Times New Roman" w:eastAsia="Times New Roman" w:hAnsi="Times New Roman"/>
          <w:spacing w:val="-7"/>
          <w:sz w:val="16"/>
          <w:szCs w:val="16"/>
          <w:u w:val="single" w:color="000000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Gerichts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:</w:t>
      </w:r>
      <w:r w:rsidRPr="00DC35C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siehe</w:t>
      </w:r>
      <w:r w:rsidRPr="00DC35C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dazu</w:t>
      </w:r>
      <w:r w:rsidRPr="00DC35C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die</w:t>
      </w:r>
      <w:r w:rsidRPr="00DC35C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Arbeitsblätter</w:t>
      </w:r>
      <w:r w:rsidRPr="00DC35C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Nr.</w:t>
      </w:r>
      <w:r w:rsidR="00FD7D1E">
        <w:rPr>
          <w:rFonts w:ascii="Times New Roman" w:eastAsia="Times New Roman" w:hAnsi="Times New Roman"/>
          <w:spacing w:val="-7"/>
          <w:sz w:val="16"/>
          <w:szCs w:val="16"/>
          <w:lang w:val="de-DE"/>
        </w:rPr>
        <w:t> 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6</w:t>
      </w:r>
      <w:r w:rsidRPr="00DC35C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und</w:t>
      </w:r>
      <w:r w:rsidRPr="00DC35C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7.</w:t>
      </w:r>
    </w:p>
    <w:p w14:paraId="6323852B" w14:textId="1514E956" w:rsidR="008109C2" w:rsidRPr="00DC35C0" w:rsidRDefault="007A152F" w:rsidP="006C67DB">
      <w:pPr>
        <w:pStyle w:val="FarbigeSchattierung-Akzent31"/>
        <w:numPr>
          <w:ilvl w:val="1"/>
          <w:numId w:val="2"/>
        </w:numPr>
        <w:tabs>
          <w:tab w:val="left" w:pos="702"/>
        </w:tabs>
        <w:spacing w:line="218" w:lineRule="auto"/>
        <w:ind w:left="418" w:right="2974" w:firstLine="0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Strafmündigkeit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: Nicht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bei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Personen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unter 14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Jahren,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FD7D1E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19</w:t>
      </w:r>
      <w:r w:rsidRPr="00DC35C0">
        <w:rPr>
          <w:rFonts w:ascii="Times New Roman" w:eastAsia="Times New Roman" w:hAnsi="Times New Roman"/>
          <w:spacing w:val="10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StGB.</w:t>
      </w:r>
    </w:p>
    <w:p w14:paraId="64B8A693" w14:textId="77777777" w:rsidR="008109C2" w:rsidRPr="00DC35C0" w:rsidRDefault="007A152F" w:rsidP="006C67DB">
      <w:pPr>
        <w:pStyle w:val="FarbigeSchattierung-Akzent31"/>
        <w:numPr>
          <w:ilvl w:val="0"/>
          <w:numId w:val="1"/>
        </w:numPr>
        <w:tabs>
          <w:tab w:val="left" w:pos="702"/>
        </w:tabs>
        <w:spacing w:line="218" w:lineRule="auto"/>
        <w:ind w:right="139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Verhandlungsfähigkeit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: </w:t>
      </w:r>
      <w:r w:rsidRPr="00DC35C0">
        <w:rPr>
          <w:rFonts w:ascii="Times New Roman" w:hAnsi="Times New Roman"/>
          <w:spacing w:val="-4"/>
          <w:sz w:val="16"/>
          <w:szCs w:val="16"/>
          <w:lang w:val="de-DE"/>
        </w:rPr>
        <w:t xml:space="preserve">Fähigkeit,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in und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außerhalb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Verhandlung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die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Interessen vernünftig wahrzunehmen,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die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Verteidigung </w:t>
      </w:r>
      <w:r w:rsidRPr="00DC35C0">
        <w:rPr>
          <w:rFonts w:ascii="Times New Roman" w:hAnsi="Times New Roman"/>
          <w:sz w:val="16"/>
          <w:szCs w:val="16"/>
          <w:lang w:val="de-DE"/>
        </w:rPr>
        <w:t>in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verständlicher</w:t>
      </w:r>
      <w:r w:rsidRPr="00DC35C0">
        <w:rPr>
          <w:rFonts w:ascii="Times New Roman" w:hAnsi="Times New Roman"/>
          <w:spacing w:val="-9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und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verständiger</w:t>
      </w:r>
      <w:r w:rsidRPr="00DC35C0">
        <w:rPr>
          <w:rFonts w:ascii="Times New Roman" w:hAnsi="Times New Roman"/>
          <w:spacing w:val="-9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Weise</w:t>
      </w:r>
      <w:r w:rsidRPr="00DC35C0">
        <w:rPr>
          <w:rFonts w:ascii="Times New Roman" w:hAns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zu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führen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und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Prozesserklärungen</w:t>
      </w:r>
      <w:r w:rsidRPr="00DC35C0">
        <w:rPr>
          <w:rFonts w:ascii="Times New Roman" w:hAns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abzugeben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und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entgegenzunehmen.</w:t>
      </w:r>
    </w:p>
    <w:p w14:paraId="1ADB3B15" w14:textId="32F9E6AE" w:rsidR="008109C2" w:rsidRPr="00DC35C0" w:rsidRDefault="007A152F" w:rsidP="006C67DB">
      <w:pPr>
        <w:pStyle w:val="FarbigeSchattierung-Akzent31"/>
        <w:numPr>
          <w:ilvl w:val="0"/>
          <w:numId w:val="1"/>
        </w:numPr>
        <w:tabs>
          <w:tab w:val="left" w:pos="712"/>
        </w:tabs>
        <w:spacing w:line="218" w:lineRule="auto"/>
        <w:ind w:right="142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Wirksamer Strafantrag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: Fehlt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Strafantrag </w:t>
      </w:r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>(</w:t>
      </w:r>
      <w:proofErr w:type="spellStart"/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>i.S.d</w:t>
      </w:r>
      <w:proofErr w:type="spellEnd"/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>. §§</w:t>
      </w:r>
      <w:r w:rsidR="002C0352" w:rsidRPr="00BD0E0E">
        <w:rPr>
          <w:rFonts w:ascii="Times New Roman" w:hAnsi="Times New Roman"/>
          <w:spacing w:val="-3"/>
          <w:sz w:val="16"/>
          <w:szCs w:val="16"/>
          <w:lang w:val="de-DE"/>
        </w:rPr>
        <w:t> </w:t>
      </w:r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>77</w:t>
      </w:r>
      <w:r w:rsidR="00FD7D1E">
        <w:rPr>
          <w:rFonts w:ascii="Times New Roman" w:hAnsi="Times New Roman"/>
          <w:spacing w:val="-3"/>
          <w:sz w:val="16"/>
          <w:szCs w:val="16"/>
          <w:lang w:val="de-DE"/>
        </w:rPr>
        <w:t> </w:t>
      </w:r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ff. StGB)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bei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einem Antragsdelikt, stellt dieses Fehlen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ein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Verfahrenshindernis dar;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bei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relativen</w:t>
      </w:r>
      <w:r w:rsidRPr="00DC35C0">
        <w:rPr>
          <w:rFonts w:ascii="Times New Roman" w:hAnsi="Times New Roman"/>
          <w:spacing w:val="-5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Antragsdelikten</w:t>
      </w:r>
      <w:r w:rsidRPr="00DC35C0">
        <w:rPr>
          <w:rFonts w:ascii="Times New Roman" w:hAnsi="Times New Roman"/>
          <w:spacing w:val="-5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kann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er</w:t>
      </w:r>
      <w:r w:rsidRPr="00DC35C0">
        <w:rPr>
          <w:rFonts w:ascii="Times New Roman" w:hAns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allerdings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durch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die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="00FD7D1E">
        <w:rPr>
          <w:rFonts w:ascii="Times New Roman" w:hAnsi="Times New Roman"/>
          <w:sz w:val="16"/>
          <w:szCs w:val="16"/>
          <w:lang w:val="de-DE"/>
        </w:rPr>
        <w:t>Annahme</w:t>
      </w:r>
      <w:r w:rsidR="00FD7D1E" w:rsidRPr="00DC35C0">
        <w:rPr>
          <w:rFonts w:ascii="Times New Roman" w:hAnsi="Times New Roman"/>
          <w:spacing w:val="-8"/>
          <w:sz w:val="16"/>
          <w:szCs w:val="16"/>
          <w:lang w:val="de-DE"/>
        </w:rPr>
        <w:t xml:space="preserve"> </w:t>
      </w:r>
      <w:r w:rsidR="00FD7D1E">
        <w:rPr>
          <w:rFonts w:ascii="Times New Roman" w:hAnsi="Times New Roman"/>
          <w:sz w:val="16"/>
          <w:szCs w:val="16"/>
          <w:lang w:val="de-DE"/>
        </w:rPr>
        <w:t>eines</w:t>
      </w:r>
      <w:r w:rsidR="00FD7D1E"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="00222594"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besonderen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öffentlichen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Interesses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durch</w:t>
      </w:r>
      <w:r w:rsidRPr="00DC35C0">
        <w:rPr>
          <w:rFonts w:ascii="Times New Roman" w:hAnsi="Times New Roman"/>
          <w:spacing w:val="-5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die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proofErr w:type="spellStart"/>
      <w:r w:rsidRPr="00DC35C0">
        <w:rPr>
          <w:rFonts w:ascii="Times New Roman" w:hAnsi="Times New Roman"/>
          <w:sz w:val="16"/>
          <w:szCs w:val="16"/>
          <w:lang w:val="de-DE"/>
        </w:rPr>
        <w:t>StA</w:t>
      </w:r>
      <w:proofErr w:type="spellEnd"/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ersetzt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werden</w:t>
      </w:r>
      <w:r w:rsidR="00FD7D1E">
        <w:rPr>
          <w:rFonts w:ascii="Times New Roman" w:hAnsi="Times New Roman"/>
          <w:spacing w:val="-3"/>
          <w:sz w:val="16"/>
          <w:szCs w:val="16"/>
          <w:lang w:val="de-DE"/>
        </w:rPr>
        <w:t xml:space="preserve"> (vgl. etwa § 230 I 1 StPO)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.</w:t>
      </w:r>
    </w:p>
    <w:p w14:paraId="67765AC2" w14:textId="77777777" w:rsidR="008109C2" w:rsidRPr="00DC35C0" w:rsidRDefault="007A152F" w:rsidP="006C67DB">
      <w:pPr>
        <w:pStyle w:val="FarbigeSchattierung-Akzent31"/>
        <w:numPr>
          <w:ilvl w:val="0"/>
          <w:numId w:val="1"/>
        </w:numPr>
        <w:tabs>
          <w:tab w:val="left" w:pos="712"/>
        </w:tabs>
        <w:spacing w:line="218" w:lineRule="auto"/>
        <w:ind w:right="142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Wirksame Anklage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: Str.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ist,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inwieweit Mängel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Anklageschrift nachträglich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im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Hauptverfahren geheilt werden können;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dies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erscheint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jedenfalls</w:t>
      </w:r>
      <w:r w:rsidRPr="00DC35C0">
        <w:rPr>
          <w:rFonts w:ascii="Times New Roman" w:hAnsi="Times New Roman"/>
          <w:spacing w:val="-5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dann</w:t>
      </w:r>
      <w:r w:rsidRPr="00DC35C0">
        <w:rPr>
          <w:rFonts w:ascii="Times New Roman" w:hAnsi="Times New Roman"/>
          <w:spacing w:val="-5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problematisch,</w:t>
      </w:r>
      <w:r w:rsidRPr="00DC35C0">
        <w:rPr>
          <w:rFonts w:ascii="Times New Roman" w:hAnsi="Times New Roman"/>
          <w:spacing w:val="-5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wenn</w:t>
      </w:r>
      <w:r w:rsidRPr="00DC35C0">
        <w:rPr>
          <w:rFonts w:ascii="Times New Roman" w:hAnsi="Times New Roman"/>
          <w:spacing w:val="-5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durch</w:t>
      </w:r>
      <w:r w:rsidRPr="00DC35C0">
        <w:rPr>
          <w:rFonts w:ascii="Times New Roman" w:hAnsi="Times New Roman"/>
          <w:spacing w:val="-5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die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Mängel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unklar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wird,</w:t>
      </w:r>
      <w:r w:rsidRPr="00DC35C0">
        <w:rPr>
          <w:rFonts w:ascii="Times New Roman" w:hAnsi="Times New Roman"/>
          <w:spacing w:val="-5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welche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konkrete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Tat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überhaupt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rechtshängig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wurde</w:t>
      </w:r>
      <w:r w:rsidR="00AF02AA" w:rsidRPr="00DC35C0">
        <w:rPr>
          <w:rFonts w:ascii="Times New Roman" w:hAnsi="Times New Roman"/>
          <w:spacing w:val="-3"/>
          <w:sz w:val="16"/>
          <w:szCs w:val="16"/>
          <w:lang w:val="de-DE"/>
        </w:rPr>
        <w:t>, also die Umgrenzungs- und nicht nur die Informationsfunktion der Anklage betroffen ist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.</w:t>
      </w:r>
    </w:p>
    <w:p w14:paraId="4284C547" w14:textId="77777777" w:rsidR="008109C2" w:rsidRPr="00DC35C0" w:rsidRDefault="007A152F" w:rsidP="006C67DB">
      <w:pPr>
        <w:pStyle w:val="FarbigeSchattierung-Akzent31"/>
        <w:numPr>
          <w:ilvl w:val="0"/>
          <w:numId w:val="1"/>
        </w:numPr>
        <w:tabs>
          <w:tab w:val="left" w:pos="712"/>
        </w:tabs>
        <w:spacing w:line="218" w:lineRule="auto"/>
        <w:ind w:right="140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Wirksamer Eröffnungsbeschluss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: Ähnlich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steht es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mit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dem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Eröffnungsbeschluss,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denn hier ist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wiederum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sehr </w:t>
      </w:r>
      <w:proofErr w:type="spellStart"/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str.</w:t>
      </w:r>
      <w:proofErr w:type="spellEnd"/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,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ob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dieser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bei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Fehlen später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noch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nachgeholt werden</w:t>
      </w:r>
      <w:r w:rsidRPr="00DC35C0">
        <w:rPr>
          <w:rFonts w:ascii="Times New Roman" w:hAnsi="Times New Roman"/>
          <w:spacing w:val="-11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kann.</w:t>
      </w:r>
    </w:p>
    <w:p w14:paraId="7A9117D8" w14:textId="77777777" w:rsidR="008109C2" w:rsidRPr="00DC35C0" w:rsidRDefault="007A152F" w:rsidP="006C67DB">
      <w:pPr>
        <w:pStyle w:val="berschrift2"/>
        <w:numPr>
          <w:ilvl w:val="0"/>
          <w:numId w:val="2"/>
        </w:numPr>
        <w:tabs>
          <w:tab w:val="left" w:pos="443"/>
        </w:tabs>
        <w:spacing w:before="0" w:line="218" w:lineRule="auto"/>
        <w:ind w:left="442" w:hanging="307"/>
        <w:rPr>
          <w:b w:val="0"/>
          <w:bCs w:val="0"/>
          <w:sz w:val="16"/>
          <w:szCs w:val="16"/>
          <w:lang w:val="de-DE"/>
        </w:rPr>
      </w:pPr>
      <w:r w:rsidRPr="00DC35C0">
        <w:rPr>
          <w:sz w:val="16"/>
          <w:szCs w:val="16"/>
          <w:lang w:val="de-DE"/>
        </w:rPr>
        <w:t xml:space="preserve">Die </w:t>
      </w:r>
      <w:r w:rsidRPr="00DC35C0">
        <w:rPr>
          <w:spacing w:val="-3"/>
          <w:sz w:val="16"/>
          <w:szCs w:val="16"/>
          <w:lang w:val="de-DE"/>
        </w:rPr>
        <w:t>wichtigsten negativen</w:t>
      </w:r>
      <w:r w:rsidRPr="00DC35C0">
        <w:rPr>
          <w:spacing w:val="-13"/>
          <w:sz w:val="16"/>
          <w:szCs w:val="16"/>
          <w:lang w:val="de-DE"/>
        </w:rPr>
        <w:t xml:space="preserve"> </w:t>
      </w:r>
      <w:r w:rsidRPr="00DC35C0">
        <w:rPr>
          <w:spacing w:val="-3"/>
          <w:sz w:val="16"/>
          <w:szCs w:val="16"/>
          <w:lang w:val="de-DE"/>
        </w:rPr>
        <w:t>Prozessvoraussetzungen:</w:t>
      </w:r>
    </w:p>
    <w:p w14:paraId="2B4CBE9E" w14:textId="77777777" w:rsidR="008109C2" w:rsidRPr="00DC35C0" w:rsidRDefault="007A152F" w:rsidP="006C67DB">
      <w:pPr>
        <w:pStyle w:val="FarbigeSchattierung-Akzent31"/>
        <w:numPr>
          <w:ilvl w:val="1"/>
          <w:numId w:val="2"/>
        </w:numPr>
        <w:tabs>
          <w:tab w:val="left" w:pos="712"/>
        </w:tabs>
        <w:spacing w:line="218" w:lineRule="auto"/>
        <w:ind w:right="142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Keine anderweitige Rechtshängigkeit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: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Das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Verfahren darf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nicht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bereits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bei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einem anderen Gericht rechtshängig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sein.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Rechtshängigkeit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tritt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nach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h.M.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mit</w:t>
      </w:r>
      <w:r w:rsidRPr="00DC35C0">
        <w:rPr>
          <w:rFonts w:ascii="Times New Roman" w:hAnsi="Times New Roman"/>
          <w:spacing w:val="-7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dem</w:t>
      </w:r>
      <w:r w:rsidRPr="00DC35C0">
        <w:rPr>
          <w:rFonts w:ascii="Times New Roman" w:hAns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Erlass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des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Eröffnungsbeschlusses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ein</w:t>
      </w:r>
      <w:r w:rsidR="006A2E3B" w:rsidRPr="00DC35C0">
        <w:rPr>
          <w:rFonts w:ascii="Times New Roman" w:hAnsi="Times New Roman"/>
          <w:sz w:val="16"/>
          <w:szCs w:val="16"/>
          <w:lang w:val="de-DE"/>
        </w:rPr>
        <w:t xml:space="preserve">, weil danach die erfolgte Anklage durch die </w:t>
      </w:r>
      <w:proofErr w:type="spellStart"/>
      <w:r w:rsidR="006A2E3B" w:rsidRPr="00DC35C0">
        <w:rPr>
          <w:rFonts w:ascii="Times New Roman" w:hAnsi="Times New Roman"/>
          <w:sz w:val="16"/>
          <w:szCs w:val="16"/>
          <w:lang w:val="de-DE"/>
        </w:rPr>
        <w:t>StA</w:t>
      </w:r>
      <w:proofErr w:type="spellEnd"/>
      <w:r w:rsidR="006A2E3B" w:rsidRPr="00DC35C0">
        <w:rPr>
          <w:rFonts w:ascii="Times New Roman" w:hAnsi="Times New Roman"/>
          <w:sz w:val="16"/>
          <w:szCs w:val="16"/>
          <w:lang w:val="de-DE"/>
        </w:rPr>
        <w:t xml:space="preserve"> gem. § 156 StPO nicht mehr rückgängig gemacht werden kann</w:t>
      </w:r>
      <w:r w:rsidRPr="00DC35C0">
        <w:rPr>
          <w:rFonts w:ascii="Times New Roman" w:hAnsi="Times New Roman"/>
          <w:spacing w:val="-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(</w:t>
      </w:r>
      <w:proofErr w:type="spellStart"/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str.</w:t>
      </w:r>
      <w:proofErr w:type="spellEnd"/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).</w:t>
      </w:r>
    </w:p>
    <w:p w14:paraId="3A3984B2" w14:textId="3630A45B" w:rsidR="008109C2" w:rsidRPr="00DC35C0" w:rsidRDefault="007A152F" w:rsidP="006C67DB">
      <w:pPr>
        <w:pStyle w:val="FarbigeSchattierung-Akzent31"/>
        <w:numPr>
          <w:ilvl w:val="1"/>
          <w:numId w:val="2"/>
        </w:numPr>
        <w:tabs>
          <w:tab w:val="left" w:pos="712"/>
        </w:tabs>
        <w:spacing w:line="218" w:lineRule="auto"/>
        <w:ind w:right="141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/>
          <w:spacing w:val="-3"/>
          <w:sz w:val="16"/>
          <w:szCs w:val="16"/>
          <w:u w:val="single" w:color="000000"/>
          <w:lang w:val="de-DE"/>
        </w:rPr>
        <w:t>Keine entgegenstehende Rechtskraft</w:t>
      </w:r>
      <w:r w:rsidRPr="00DC35C0">
        <w:rPr>
          <w:rFonts w:ascii="Times New Roman"/>
          <w:spacing w:val="-3"/>
          <w:sz w:val="16"/>
          <w:szCs w:val="16"/>
          <w:lang w:val="de-DE"/>
        </w:rPr>
        <w:t xml:space="preserve">: </w:t>
      </w:r>
      <w:r w:rsidRPr="00DC35C0">
        <w:rPr>
          <w:rFonts w:ascii="Times New Roman"/>
          <w:sz w:val="16"/>
          <w:szCs w:val="16"/>
          <w:lang w:val="de-DE"/>
        </w:rPr>
        <w:t xml:space="preserve">Die </w:t>
      </w:r>
      <w:r w:rsidRPr="00DC35C0">
        <w:rPr>
          <w:rFonts w:ascii="Times New Roman"/>
          <w:spacing w:val="-3"/>
          <w:sz w:val="16"/>
          <w:szCs w:val="16"/>
          <w:lang w:val="de-DE"/>
        </w:rPr>
        <w:t xml:space="preserve">Tat </w:t>
      </w:r>
      <w:r w:rsidRPr="00DC35C0">
        <w:rPr>
          <w:rFonts w:ascii="Times New Roman"/>
          <w:sz w:val="16"/>
          <w:szCs w:val="16"/>
          <w:lang w:val="de-DE"/>
        </w:rPr>
        <w:t xml:space="preserve">im </w:t>
      </w:r>
      <w:r w:rsidRPr="00DC35C0">
        <w:rPr>
          <w:rFonts w:ascii="Times New Roman"/>
          <w:spacing w:val="-3"/>
          <w:sz w:val="16"/>
          <w:szCs w:val="16"/>
          <w:lang w:val="de-DE"/>
        </w:rPr>
        <w:t xml:space="preserve">prozessualen </w:t>
      </w:r>
      <w:r w:rsidRPr="00DC35C0">
        <w:rPr>
          <w:rFonts w:ascii="Times New Roman"/>
          <w:sz w:val="16"/>
          <w:szCs w:val="16"/>
          <w:lang w:val="de-DE"/>
        </w:rPr>
        <w:t xml:space="preserve">Sinne </w:t>
      </w:r>
      <w:r w:rsidRPr="00DC35C0">
        <w:rPr>
          <w:rFonts w:ascii="Times New Roman"/>
          <w:spacing w:val="-3"/>
          <w:sz w:val="16"/>
          <w:szCs w:val="16"/>
          <w:lang w:val="de-DE"/>
        </w:rPr>
        <w:t xml:space="preserve">darf </w:t>
      </w:r>
      <w:r w:rsidRPr="00DC35C0">
        <w:rPr>
          <w:rFonts w:ascii="Times New Roman"/>
          <w:sz w:val="16"/>
          <w:szCs w:val="16"/>
          <w:lang w:val="de-DE"/>
        </w:rPr>
        <w:t xml:space="preserve">noch nicht </w:t>
      </w:r>
      <w:r w:rsidRPr="00DC35C0">
        <w:rPr>
          <w:rFonts w:ascii="Times New Roman"/>
          <w:spacing w:val="-3"/>
          <w:sz w:val="16"/>
          <w:szCs w:val="16"/>
          <w:lang w:val="de-DE"/>
        </w:rPr>
        <w:t xml:space="preserve">abgeurteilt </w:t>
      </w:r>
      <w:r w:rsidRPr="00DC35C0">
        <w:rPr>
          <w:rFonts w:ascii="Times New Roman"/>
          <w:sz w:val="16"/>
          <w:szCs w:val="16"/>
          <w:lang w:val="de-DE"/>
        </w:rPr>
        <w:t xml:space="preserve">sein. </w:t>
      </w:r>
      <w:r w:rsidRPr="00DC35C0">
        <w:rPr>
          <w:rFonts w:ascii="Times New Roman"/>
          <w:spacing w:val="-3"/>
          <w:sz w:val="16"/>
          <w:szCs w:val="16"/>
          <w:lang w:val="de-DE"/>
        </w:rPr>
        <w:t xml:space="preserve">Einer erneuten Verurteilung </w:t>
      </w:r>
      <w:r w:rsidRPr="00DC35C0">
        <w:rPr>
          <w:rFonts w:ascii="Times New Roman"/>
          <w:sz w:val="16"/>
          <w:szCs w:val="16"/>
          <w:lang w:val="de-DE"/>
        </w:rPr>
        <w:t>steht</w:t>
      </w:r>
      <w:r w:rsidRPr="00DC35C0">
        <w:rPr>
          <w:rFonts w:ascii="Times New Roman"/>
          <w:spacing w:val="-9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sz w:val="16"/>
          <w:szCs w:val="16"/>
          <w:lang w:val="de-DE"/>
        </w:rPr>
        <w:t>das</w:t>
      </w:r>
      <w:r w:rsidRPr="00DC35C0">
        <w:rPr>
          <w:rFonts w:asci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spacing w:val="-3"/>
          <w:sz w:val="16"/>
          <w:szCs w:val="16"/>
          <w:lang w:val="de-DE"/>
        </w:rPr>
        <w:t>Verbot</w:t>
      </w:r>
      <w:r w:rsidRPr="00DC35C0">
        <w:rPr>
          <w:rFonts w:ascii="Times New Roman"/>
          <w:spacing w:val="-9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sz w:val="16"/>
          <w:szCs w:val="16"/>
          <w:lang w:val="de-DE"/>
        </w:rPr>
        <w:t>des</w:t>
      </w:r>
      <w:r w:rsidRPr="00DC35C0">
        <w:rPr>
          <w:rFonts w:asci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i/>
          <w:sz w:val="16"/>
          <w:szCs w:val="16"/>
          <w:lang w:val="de-DE"/>
        </w:rPr>
        <w:t>ne</w:t>
      </w:r>
      <w:r w:rsidRPr="00DC35C0">
        <w:rPr>
          <w:rFonts w:ascii="Times New Roman"/>
          <w:i/>
          <w:spacing w:val="-9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i/>
          <w:sz w:val="16"/>
          <w:szCs w:val="16"/>
          <w:lang w:val="de-DE"/>
        </w:rPr>
        <w:t>bis</w:t>
      </w:r>
      <w:r w:rsidRPr="00DC35C0">
        <w:rPr>
          <w:rFonts w:ascii="Times New Roman"/>
          <w:i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i/>
          <w:sz w:val="16"/>
          <w:szCs w:val="16"/>
          <w:lang w:val="de-DE"/>
        </w:rPr>
        <w:t>in</w:t>
      </w:r>
      <w:r w:rsidRPr="00DC35C0">
        <w:rPr>
          <w:rFonts w:ascii="Times New Roman"/>
          <w:i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i/>
          <w:sz w:val="16"/>
          <w:szCs w:val="16"/>
          <w:lang w:val="de-DE"/>
        </w:rPr>
        <w:t>idem</w:t>
      </w:r>
      <w:r w:rsidRPr="00DC35C0">
        <w:rPr>
          <w:rFonts w:ascii="Times New Roman"/>
          <w:i/>
          <w:spacing w:val="-9"/>
          <w:sz w:val="16"/>
          <w:szCs w:val="16"/>
          <w:lang w:val="de-DE"/>
        </w:rPr>
        <w:t xml:space="preserve"> </w:t>
      </w:r>
      <w:r w:rsidR="006A2E3B" w:rsidRPr="00DC35C0">
        <w:rPr>
          <w:rFonts w:ascii="Times New Roman"/>
          <w:spacing w:val="-9"/>
          <w:sz w:val="16"/>
          <w:szCs w:val="16"/>
          <w:lang w:val="de-DE"/>
        </w:rPr>
        <w:t>gem. Art. 103 III GG</w:t>
      </w:r>
      <w:r w:rsidR="006A2E3B" w:rsidRPr="00DC35C0">
        <w:rPr>
          <w:rFonts w:ascii="Times New Roman"/>
          <w:i/>
          <w:spacing w:val="-9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spacing w:val="-3"/>
          <w:sz w:val="16"/>
          <w:szCs w:val="16"/>
          <w:lang w:val="de-DE"/>
        </w:rPr>
        <w:t>entgegen</w:t>
      </w:r>
      <w:r w:rsidRPr="00DC35C0">
        <w:rPr>
          <w:rFonts w:asci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spacing w:val="-3"/>
          <w:sz w:val="16"/>
          <w:szCs w:val="16"/>
          <w:lang w:val="de-DE"/>
        </w:rPr>
        <w:t>(siehe</w:t>
      </w:r>
      <w:r w:rsidRPr="00DC35C0">
        <w:rPr>
          <w:rFonts w:ascii="Times New Roman"/>
          <w:spacing w:val="-9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sz w:val="16"/>
          <w:szCs w:val="16"/>
          <w:lang w:val="de-DE"/>
        </w:rPr>
        <w:t>dazu</w:t>
      </w:r>
      <w:r w:rsidRPr="00DC35C0">
        <w:rPr>
          <w:rFonts w:asci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spacing w:val="-3"/>
          <w:sz w:val="16"/>
          <w:szCs w:val="16"/>
          <w:lang w:val="de-DE"/>
        </w:rPr>
        <w:t>Arbeitsblatt</w:t>
      </w:r>
      <w:r w:rsidRPr="00DC35C0">
        <w:rPr>
          <w:rFonts w:ascii="Times New Roman"/>
          <w:spacing w:val="-9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spacing w:val="-3"/>
          <w:sz w:val="16"/>
          <w:szCs w:val="16"/>
          <w:lang w:val="de-DE"/>
        </w:rPr>
        <w:t>Nr.</w:t>
      </w:r>
      <w:r w:rsidRPr="00DC35C0">
        <w:rPr>
          <w:rFonts w:ascii="Times New Roman"/>
          <w:spacing w:val="-8"/>
          <w:sz w:val="16"/>
          <w:szCs w:val="16"/>
          <w:lang w:val="de-DE"/>
        </w:rPr>
        <w:t xml:space="preserve"> </w:t>
      </w:r>
      <w:r w:rsidRPr="00DC35C0">
        <w:rPr>
          <w:rFonts w:ascii="Times New Roman"/>
          <w:sz w:val="16"/>
          <w:szCs w:val="16"/>
          <w:lang w:val="de-DE"/>
        </w:rPr>
        <w:t>51).</w:t>
      </w:r>
    </w:p>
    <w:p w14:paraId="4BA47D93" w14:textId="2424ECB5" w:rsidR="008109C2" w:rsidRPr="00DC35C0" w:rsidRDefault="007A152F" w:rsidP="006C67DB">
      <w:pPr>
        <w:pStyle w:val="FarbigeSchattierung-Akzent31"/>
        <w:numPr>
          <w:ilvl w:val="1"/>
          <w:numId w:val="2"/>
        </w:numPr>
        <w:tabs>
          <w:tab w:val="left" w:pos="712"/>
        </w:tabs>
        <w:spacing w:line="218" w:lineRule="auto"/>
        <w:ind w:right="144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Keine Verjährung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: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Verjährung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nach den §§</w:t>
      </w:r>
      <w:r w:rsidR="002C0352" w:rsidRPr="00DC35C0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78 ff.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StGB begründet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ein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Verfahrenshindernis;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nach BGH ist der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Zweifelssatz </w:t>
      </w:r>
      <w:r w:rsidRPr="00DC35C0">
        <w:rPr>
          <w:rFonts w:ascii="Times New Roman" w:eastAsia="Times New Roman" w:hAnsi="Times New Roman"/>
          <w:i/>
          <w:spacing w:val="-3"/>
          <w:sz w:val="16"/>
          <w:szCs w:val="16"/>
          <w:lang w:val="de-DE"/>
        </w:rPr>
        <w:t xml:space="preserve">in </w:t>
      </w:r>
      <w:r w:rsidRPr="00DC35C0">
        <w:rPr>
          <w:rFonts w:ascii="Times New Roman" w:eastAsia="Times New Roman" w:hAnsi="Times New Roman"/>
          <w:i/>
          <w:sz w:val="16"/>
          <w:szCs w:val="16"/>
          <w:lang w:val="de-DE"/>
        </w:rPr>
        <w:t xml:space="preserve">dubio pro reo </w:t>
      </w:r>
      <w:proofErr w:type="gramStart"/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anwendbar</w:t>
      </w:r>
      <w:r w:rsidR="00917D01"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29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(</w:t>
      </w:r>
      <w:proofErr w:type="gramEnd"/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s.o.).</w:t>
      </w:r>
    </w:p>
    <w:p w14:paraId="0072533D" w14:textId="342BFDCF" w:rsidR="008109C2" w:rsidRPr="00DC35C0" w:rsidRDefault="007A152F" w:rsidP="006C67DB">
      <w:pPr>
        <w:pStyle w:val="FarbigeSchattierung-Akzent31"/>
        <w:numPr>
          <w:ilvl w:val="1"/>
          <w:numId w:val="2"/>
        </w:numPr>
        <w:tabs>
          <w:tab w:val="left" w:pos="712"/>
        </w:tabs>
        <w:spacing w:line="218" w:lineRule="auto"/>
        <w:ind w:right="143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 xml:space="preserve">Kein Tod </w:t>
      </w:r>
      <w:r w:rsidRPr="00DC35C0">
        <w:rPr>
          <w:rFonts w:ascii="Times New Roman" w:hAnsi="Times New Roman"/>
          <w:sz w:val="16"/>
          <w:szCs w:val="16"/>
          <w:u w:val="single" w:color="000000"/>
          <w:lang w:val="de-DE"/>
        </w:rPr>
        <w:t xml:space="preserve">des </w:t>
      </w: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Angeklagten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: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Es ist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allgemein anerkannt,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dass der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Tod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ein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Prozesshindernis darstellt; </w:t>
      </w:r>
      <w:proofErr w:type="spellStart"/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str.</w:t>
      </w:r>
      <w:proofErr w:type="spellEnd"/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ist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aber,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ob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hierzu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auch </w:t>
      </w:r>
      <w:r w:rsidRPr="00DC35C0">
        <w:rPr>
          <w:rFonts w:ascii="Times New Roman" w:hAnsi="Times New Roman"/>
          <w:spacing w:val="-4"/>
          <w:sz w:val="16"/>
          <w:szCs w:val="16"/>
          <w:lang w:val="de-DE"/>
        </w:rPr>
        <w:t>ei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ne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förmliche Einstellung erfolgen</w:t>
      </w:r>
      <w:r w:rsidRPr="00DC35C0">
        <w:rPr>
          <w:rFonts w:ascii="Times New Roman" w:hAnsi="Times New Roman"/>
          <w:spacing w:val="-16"/>
          <w:sz w:val="16"/>
          <w:szCs w:val="16"/>
          <w:lang w:val="de-DE"/>
        </w:rPr>
        <w:t xml:space="preserve"> </w:t>
      </w:r>
      <w:r w:rsidRPr="00DC35C0">
        <w:rPr>
          <w:rFonts w:ascii="Times New Roman" w:hAnsi="Times New Roman"/>
          <w:sz w:val="16"/>
          <w:szCs w:val="16"/>
          <w:lang w:val="de-DE"/>
        </w:rPr>
        <w:t>muss.</w:t>
      </w:r>
    </w:p>
    <w:p w14:paraId="3CEFEEAD" w14:textId="77777777" w:rsidR="008109C2" w:rsidRPr="00DC35C0" w:rsidRDefault="007A152F" w:rsidP="006C67DB">
      <w:pPr>
        <w:pStyle w:val="berschrift2"/>
        <w:numPr>
          <w:ilvl w:val="0"/>
          <w:numId w:val="2"/>
        </w:numPr>
        <w:tabs>
          <w:tab w:val="left" w:pos="436"/>
        </w:tabs>
        <w:spacing w:before="0" w:line="218" w:lineRule="auto"/>
        <w:ind w:left="435" w:hanging="300"/>
        <w:rPr>
          <w:b w:val="0"/>
          <w:bCs w:val="0"/>
          <w:sz w:val="16"/>
          <w:szCs w:val="16"/>
          <w:lang w:val="de-DE"/>
        </w:rPr>
      </w:pPr>
      <w:r w:rsidRPr="00DC35C0">
        <w:rPr>
          <w:spacing w:val="-3"/>
          <w:sz w:val="16"/>
          <w:szCs w:val="16"/>
          <w:lang w:val="de-DE"/>
        </w:rPr>
        <w:t>Streitige Fälle:</w:t>
      </w:r>
    </w:p>
    <w:p w14:paraId="5BA4406F" w14:textId="7454892E" w:rsidR="00DC4B13" w:rsidRPr="00DC35C0" w:rsidRDefault="007A152F" w:rsidP="006C67DB">
      <w:pPr>
        <w:pStyle w:val="FarbigeSchattierung-Akzent31"/>
        <w:numPr>
          <w:ilvl w:val="1"/>
          <w:numId w:val="2"/>
        </w:numPr>
        <w:tabs>
          <w:tab w:val="left" w:pos="712"/>
        </w:tabs>
        <w:spacing w:line="218" w:lineRule="auto"/>
        <w:ind w:right="141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Tatprovokation durch</w:t>
      </w:r>
      <w:r w:rsidR="006A2E3B"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 xml:space="preserve"> einen Lockspitzel („</w:t>
      </w:r>
      <w:proofErr w:type="spellStart"/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agent</w:t>
      </w:r>
      <w:proofErr w:type="spellEnd"/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 xml:space="preserve"> provocateur</w:t>
      </w:r>
      <w:r w:rsidR="006A2E3B"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“)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: 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Der Einsatz eines sog. </w:t>
      </w:r>
      <w:proofErr w:type="spellStart"/>
      <w:r w:rsidR="00AF02AA" w:rsidRPr="00DC35C0">
        <w:rPr>
          <w:rFonts w:ascii="Times New Roman" w:hAnsi="Times New Roman"/>
          <w:sz w:val="16"/>
          <w:szCs w:val="16"/>
          <w:lang w:val="de-DE"/>
        </w:rPr>
        <w:t>agent</w:t>
      </w:r>
      <w:proofErr w:type="spellEnd"/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 </w:t>
      </w:r>
      <w:proofErr w:type="spellStart"/>
      <w:r w:rsidR="00AF02AA" w:rsidRPr="00DC35C0">
        <w:rPr>
          <w:rFonts w:ascii="Times New Roman" w:hAnsi="Times New Roman"/>
          <w:sz w:val="16"/>
          <w:szCs w:val="16"/>
          <w:lang w:val="de-DE"/>
        </w:rPr>
        <w:t>provocateur</w:t>
      </w:r>
      <w:r w:rsidR="00C10242" w:rsidRPr="00DC35C0">
        <w:rPr>
          <w:rFonts w:ascii="Times New Roman" w:hAnsi="Times New Roman"/>
          <w:sz w:val="16"/>
          <w:szCs w:val="16"/>
          <w:lang w:val="de-DE"/>
        </w:rPr>
        <w:t>s</w:t>
      </w:r>
      <w:proofErr w:type="spellEnd"/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 wirft zwei Fragen auf: </w:t>
      </w:r>
      <w:r w:rsidR="00C10242" w:rsidRPr="00DC35C0">
        <w:rPr>
          <w:rFonts w:ascii="Times New Roman" w:hAnsi="Times New Roman"/>
          <w:sz w:val="16"/>
          <w:szCs w:val="16"/>
          <w:lang w:val="de-DE"/>
        </w:rPr>
        <w:t>Z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um einen ist zu klären, wann der Einsatz des Lockspitzels zulässig ist, zum anderen, </w:t>
      </w:r>
      <w:r w:rsidR="00C10242" w:rsidRPr="00DC35C0">
        <w:rPr>
          <w:rFonts w:ascii="Times New Roman" w:hAnsi="Times New Roman"/>
          <w:sz w:val="16"/>
          <w:szCs w:val="16"/>
          <w:lang w:val="de-DE"/>
        </w:rPr>
        <w:t>welche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 Rechtsfolge </w:t>
      </w:r>
      <w:r w:rsidR="00C10242" w:rsidRPr="00DC35C0">
        <w:rPr>
          <w:rFonts w:ascii="Times New Roman" w:hAnsi="Times New Roman"/>
          <w:sz w:val="16"/>
          <w:szCs w:val="16"/>
          <w:lang w:val="de-DE"/>
        </w:rPr>
        <w:t>bei unzulässigem Einsatz eintritt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. Die Grenze des zulässigen Einsatzes eines Lockspitzels ist dort überschritten, wo </w:t>
      </w:r>
      <w:r w:rsidR="009367FD" w:rsidRPr="00DC35C0">
        <w:rPr>
          <w:rFonts w:ascii="Times New Roman" w:hAnsi="Times New Roman"/>
          <w:sz w:val="16"/>
          <w:szCs w:val="16"/>
          <w:lang w:val="de-DE"/>
        </w:rPr>
        <w:t xml:space="preserve">er 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>gegenüber bis dato nicht tatgeneigten Personen agier</w:t>
      </w:r>
      <w:r w:rsidR="009367FD" w:rsidRPr="00DC35C0">
        <w:rPr>
          <w:rFonts w:ascii="Times New Roman" w:hAnsi="Times New Roman"/>
          <w:sz w:val="16"/>
          <w:szCs w:val="16"/>
          <w:lang w:val="de-DE"/>
        </w:rPr>
        <w:t>t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 oder die Einwirkung der Tatprovokation besonders intensiv ist. Umstritten ist </w:t>
      </w:r>
      <w:r w:rsidR="00C10242" w:rsidRPr="00DC35C0">
        <w:rPr>
          <w:rFonts w:ascii="Times New Roman" w:hAnsi="Times New Roman"/>
          <w:sz w:val="16"/>
          <w:szCs w:val="16"/>
          <w:lang w:val="de-DE"/>
        </w:rPr>
        <w:t>aber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 die Rechtsfolge eines unzulässigen Lockspitzeleinsatzes. Nach </w:t>
      </w:r>
      <w:proofErr w:type="spellStart"/>
      <w:r w:rsidR="00AF02AA" w:rsidRPr="00DC35C0">
        <w:rPr>
          <w:rFonts w:ascii="Times New Roman" w:hAnsi="Times New Roman"/>
          <w:sz w:val="16"/>
          <w:szCs w:val="16"/>
          <w:lang w:val="de-DE"/>
        </w:rPr>
        <w:t>t.v.A</w:t>
      </w:r>
      <w:proofErr w:type="spellEnd"/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. liegt in diesem Fall ein Verfahrenshindernis vor, da der Staat selbst den Strafanspruch zum Entstehen gebracht habe. Nach </w:t>
      </w:r>
      <w:proofErr w:type="spellStart"/>
      <w:r w:rsidR="00C10242" w:rsidRPr="00DC35C0">
        <w:rPr>
          <w:rFonts w:ascii="Times New Roman" w:hAnsi="Times New Roman"/>
          <w:sz w:val="16"/>
          <w:szCs w:val="16"/>
          <w:lang w:val="de-DE"/>
        </w:rPr>
        <w:t>a.A</w:t>
      </w:r>
      <w:proofErr w:type="spellEnd"/>
      <w:r w:rsidR="00C10242" w:rsidRPr="00DC35C0">
        <w:rPr>
          <w:rFonts w:ascii="Times New Roman" w:hAnsi="Times New Roman"/>
          <w:sz w:val="16"/>
          <w:szCs w:val="16"/>
          <w:lang w:val="de-DE"/>
        </w:rPr>
        <w:t>.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 ist bereits materiell-rechtlich ein Strafausschließungsgrund anzunehmen, sodass der Strafanspruch selbst gar nicht entst</w:t>
      </w:r>
      <w:r w:rsidR="00C10242" w:rsidRPr="00DC35C0">
        <w:rPr>
          <w:rFonts w:ascii="Times New Roman" w:hAnsi="Times New Roman"/>
          <w:sz w:val="16"/>
          <w:szCs w:val="16"/>
          <w:lang w:val="de-DE"/>
        </w:rPr>
        <w:t>eht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. Der BGH </w:t>
      </w:r>
      <w:r w:rsidR="006A4F74" w:rsidRPr="00DC35C0">
        <w:rPr>
          <w:rFonts w:ascii="Times New Roman" w:hAnsi="Times New Roman"/>
          <w:sz w:val="16"/>
          <w:szCs w:val="16"/>
          <w:lang w:val="de-DE"/>
        </w:rPr>
        <w:t xml:space="preserve">hat 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dieses Verhalten </w:t>
      </w:r>
      <w:r w:rsidR="006A4F74" w:rsidRPr="00DC35C0">
        <w:rPr>
          <w:rFonts w:ascii="Times New Roman" w:hAnsi="Times New Roman"/>
          <w:sz w:val="16"/>
          <w:szCs w:val="16"/>
          <w:lang w:val="de-DE"/>
        </w:rPr>
        <w:t xml:space="preserve">früher 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>lediglich als Strafmilderungsgrund auf Strafzumessungsebene berücksichtig</w:t>
      </w:r>
      <w:r w:rsidR="006A4F74" w:rsidRPr="00DC35C0">
        <w:rPr>
          <w:rFonts w:ascii="Times New Roman" w:hAnsi="Times New Roman"/>
          <w:sz w:val="16"/>
          <w:szCs w:val="16"/>
          <w:lang w:val="de-DE"/>
        </w:rPr>
        <w:t>t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. </w:t>
      </w:r>
      <w:r w:rsidR="00E93E54" w:rsidRPr="00DC35C0">
        <w:rPr>
          <w:rFonts w:ascii="Times New Roman" w:hAnsi="Times New Roman"/>
          <w:sz w:val="16"/>
          <w:szCs w:val="16"/>
          <w:lang w:val="de-DE"/>
        </w:rPr>
        <w:t>D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er EGMR stellte </w:t>
      </w:r>
      <w:r w:rsidR="006A4F74" w:rsidRPr="00DC35C0">
        <w:rPr>
          <w:rFonts w:ascii="Times New Roman" w:hAnsi="Times New Roman"/>
          <w:sz w:val="16"/>
          <w:szCs w:val="16"/>
          <w:lang w:val="de-DE"/>
        </w:rPr>
        <w:t xml:space="preserve">2015 </w:t>
      </w:r>
      <w:r w:rsidR="00E93E54" w:rsidRPr="00DC35C0">
        <w:rPr>
          <w:rFonts w:ascii="Times New Roman" w:hAnsi="Times New Roman"/>
          <w:sz w:val="16"/>
          <w:szCs w:val="16"/>
          <w:lang w:val="de-DE"/>
        </w:rPr>
        <w:t xml:space="preserve">jedoch 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>fest, dass in einer unzulässigen Tatprovokation ein unheilbarer Verstoß gegen den fair-trial-Grundsatz aus Art.</w:t>
      </w:r>
      <w:r w:rsidR="00C30CCE" w:rsidRPr="00DC35C0">
        <w:rPr>
          <w:rFonts w:ascii="Times New Roman" w:hAnsi="Times New Roman"/>
          <w:sz w:val="16"/>
          <w:szCs w:val="16"/>
          <w:lang w:val="de-DE"/>
        </w:rPr>
        <w:t> 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>6</w:t>
      </w:r>
      <w:r w:rsidR="00C30CCE" w:rsidRPr="00DC35C0">
        <w:rPr>
          <w:rFonts w:ascii="Times New Roman" w:hAnsi="Times New Roman"/>
          <w:sz w:val="16"/>
          <w:szCs w:val="16"/>
          <w:lang w:val="de-DE"/>
        </w:rPr>
        <w:t> </w:t>
      </w:r>
      <w:r w:rsidR="006A1A7C" w:rsidRPr="00DC35C0">
        <w:rPr>
          <w:rFonts w:ascii="Times New Roman" w:hAnsi="Times New Roman"/>
          <w:sz w:val="16"/>
          <w:szCs w:val="16"/>
          <w:lang w:val="de-DE"/>
        </w:rPr>
        <w:t>I</w:t>
      </w:r>
      <w:r w:rsidR="00C30CCE" w:rsidRPr="00DC35C0">
        <w:rPr>
          <w:rFonts w:ascii="Times New Roman" w:hAnsi="Times New Roman"/>
          <w:sz w:val="16"/>
          <w:szCs w:val="16"/>
          <w:lang w:val="de-DE"/>
        </w:rPr>
        <w:t> </w:t>
      </w:r>
      <w:r w:rsidR="006A1A7C" w:rsidRPr="00DC35C0">
        <w:rPr>
          <w:rFonts w:ascii="Times New Roman" w:hAnsi="Times New Roman"/>
          <w:sz w:val="16"/>
          <w:szCs w:val="16"/>
          <w:lang w:val="de-DE"/>
        </w:rPr>
        <w:t>1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 EMRK zu sehen ist. </w:t>
      </w:r>
      <w:r w:rsidR="00D77194" w:rsidRPr="00DC35C0">
        <w:rPr>
          <w:rFonts w:ascii="Times New Roman" w:hAnsi="Times New Roman"/>
          <w:sz w:val="16"/>
          <w:szCs w:val="16"/>
          <w:lang w:val="de-DE"/>
        </w:rPr>
        <w:t>Der Gebrauch von Beweismitteln, die durch eine Tatprovokation gewonnen wurden</w:t>
      </w:r>
      <w:r w:rsidR="00917D01" w:rsidRPr="00DC35C0">
        <w:rPr>
          <w:rFonts w:ascii="Times New Roman" w:hAnsi="Times New Roman"/>
          <w:sz w:val="16"/>
          <w:szCs w:val="16"/>
          <w:lang w:val="de-DE"/>
        </w:rPr>
        <w:t>,</w:t>
      </w:r>
      <w:r w:rsidR="00D77194" w:rsidRPr="00DC35C0">
        <w:rPr>
          <w:rFonts w:ascii="Times New Roman" w:hAnsi="Times New Roman"/>
          <w:sz w:val="16"/>
          <w:szCs w:val="16"/>
          <w:lang w:val="de-DE"/>
        </w:rPr>
        <w:t xml:space="preserve"> </w:t>
      </w:r>
      <w:r w:rsidR="00C30CCE" w:rsidRPr="00DC35C0">
        <w:rPr>
          <w:rFonts w:ascii="Times New Roman" w:hAnsi="Times New Roman"/>
          <w:sz w:val="16"/>
          <w:szCs w:val="16"/>
          <w:lang w:val="de-DE"/>
        </w:rPr>
        <w:t xml:space="preserve">sei </w:t>
      </w:r>
      <w:r w:rsidR="006A4F74" w:rsidRPr="00DC35C0">
        <w:rPr>
          <w:rFonts w:ascii="Times New Roman" w:hAnsi="Times New Roman"/>
          <w:sz w:val="16"/>
          <w:szCs w:val="16"/>
          <w:lang w:val="de-DE"/>
        </w:rPr>
        <w:t xml:space="preserve">daher </w:t>
      </w:r>
      <w:r w:rsidR="00D77194" w:rsidRPr="00DC35C0">
        <w:rPr>
          <w:rFonts w:ascii="Times New Roman" w:hAnsi="Times New Roman"/>
          <w:sz w:val="16"/>
          <w:szCs w:val="16"/>
          <w:lang w:val="de-DE"/>
        </w:rPr>
        <w:t>nicht erlaubt. Damit das Verfahren fair ist, müss</w:t>
      </w:r>
      <w:r w:rsidR="00C30CCE" w:rsidRPr="00DC35C0">
        <w:rPr>
          <w:rFonts w:ascii="Times New Roman" w:hAnsi="Times New Roman"/>
          <w:sz w:val="16"/>
          <w:szCs w:val="16"/>
          <w:lang w:val="de-DE"/>
        </w:rPr>
        <w:t>t</w:t>
      </w:r>
      <w:r w:rsidR="00D77194" w:rsidRPr="00DC35C0">
        <w:rPr>
          <w:rFonts w:ascii="Times New Roman" w:hAnsi="Times New Roman"/>
          <w:sz w:val="16"/>
          <w:szCs w:val="16"/>
          <w:lang w:val="de-DE"/>
        </w:rPr>
        <w:t xml:space="preserve">en alle durch Provokation gewonnenen Beweise ausgeschlossen werden. 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Aufgrund dessen hat der </w:t>
      </w:r>
      <w:r w:rsidR="00C10242" w:rsidRPr="00DC35C0">
        <w:rPr>
          <w:rFonts w:ascii="Times New Roman" w:hAnsi="Times New Roman"/>
          <w:sz w:val="16"/>
          <w:szCs w:val="16"/>
          <w:lang w:val="de-DE"/>
        </w:rPr>
        <w:t>2.</w:t>
      </w:r>
      <w:r w:rsidR="00C30CCE" w:rsidRPr="00DC35C0">
        <w:rPr>
          <w:rFonts w:ascii="Times New Roman" w:hAnsi="Times New Roman"/>
          <w:sz w:val="16"/>
          <w:szCs w:val="16"/>
          <w:lang w:val="de-DE"/>
        </w:rPr>
        <w:t> </w:t>
      </w:r>
      <w:r w:rsidR="009C07E6" w:rsidRPr="00DC35C0">
        <w:rPr>
          <w:rFonts w:ascii="Times New Roman" w:hAnsi="Times New Roman"/>
          <w:sz w:val="16"/>
          <w:szCs w:val="16"/>
          <w:lang w:val="de-DE"/>
        </w:rPr>
        <w:t xml:space="preserve">Senat </w:t>
      </w:r>
      <w:r w:rsidR="00C10242" w:rsidRPr="00DC35C0">
        <w:rPr>
          <w:rFonts w:ascii="Times New Roman" w:hAnsi="Times New Roman"/>
          <w:sz w:val="16"/>
          <w:szCs w:val="16"/>
          <w:lang w:val="de-DE"/>
        </w:rPr>
        <w:t xml:space="preserve">des 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>BGH einen Rechtsprechungswandel vollzogen und im Falle einer rechtsstaatswidrigen Tatprovokation ein Verfahrenshindernis angenommen (</w:t>
      </w:r>
      <w:r w:rsidR="00AF02AA" w:rsidRPr="00DC35C0">
        <w:rPr>
          <w:rFonts w:ascii="Times New Roman" w:hAnsi="Times New Roman"/>
          <w:b/>
          <w:sz w:val="16"/>
          <w:szCs w:val="16"/>
          <w:lang w:val="de-DE"/>
        </w:rPr>
        <w:t>BGHSt 60, 276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>). Offen gelassen hat der BGH, ob in jedem Fall ein Verfahrenshindernis anzunehmen ist oder ob je nach Schwere der Rechtsverletzung auch eine „abgestufte“ Lösung möglich wäre.</w:t>
      </w:r>
      <w:r w:rsidR="009C07E6" w:rsidRPr="00DC35C0">
        <w:rPr>
          <w:rFonts w:ascii="Times New Roman" w:hAnsi="Times New Roman"/>
          <w:sz w:val="16"/>
          <w:szCs w:val="16"/>
          <w:lang w:val="de-DE"/>
        </w:rPr>
        <w:t xml:space="preserve"> Der </w:t>
      </w:r>
      <w:r w:rsidR="009C07E6" w:rsidRPr="00DC35C0">
        <w:rPr>
          <w:rFonts w:ascii="Times New Roman" w:hAnsi="Times New Roman"/>
          <w:bCs/>
          <w:sz w:val="16"/>
          <w:szCs w:val="16"/>
          <w:lang w:val="de-DE"/>
        </w:rPr>
        <w:t>1.</w:t>
      </w:r>
      <w:r w:rsidR="00C30CCE" w:rsidRPr="00DC35C0">
        <w:rPr>
          <w:rFonts w:ascii="Times New Roman" w:hAnsi="Times New Roman"/>
          <w:bCs/>
          <w:sz w:val="16"/>
          <w:szCs w:val="16"/>
          <w:lang w:val="de-DE"/>
        </w:rPr>
        <w:t> </w:t>
      </w:r>
      <w:r w:rsidR="009C07E6" w:rsidRPr="00DC35C0">
        <w:rPr>
          <w:rFonts w:ascii="Times New Roman" w:hAnsi="Times New Roman"/>
          <w:bCs/>
          <w:sz w:val="16"/>
          <w:szCs w:val="16"/>
          <w:lang w:val="de-DE"/>
        </w:rPr>
        <w:t>Senat des BGH (</w:t>
      </w:r>
      <w:r w:rsidR="009C07E6" w:rsidRPr="00DC35C0">
        <w:rPr>
          <w:rFonts w:ascii="Times New Roman" w:hAnsi="Times New Roman"/>
          <w:b/>
          <w:bCs/>
          <w:sz w:val="16"/>
          <w:szCs w:val="16"/>
          <w:lang w:val="de-DE"/>
        </w:rPr>
        <w:t>NStZ 2015, 541</w:t>
      </w:r>
      <w:r w:rsidR="009C07E6" w:rsidRPr="00DC35C0">
        <w:rPr>
          <w:rFonts w:ascii="Times New Roman" w:hAnsi="Times New Roman"/>
          <w:bCs/>
          <w:sz w:val="16"/>
          <w:szCs w:val="16"/>
          <w:lang w:val="de-DE"/>
        </w:rPr>
        <w:t>) h</w:t>
      </w:r>
      <w:r w:rsidR="00DA1566" w:rsidRPr="00DC35C0">
        <w:rPr>
          <w:rFonts w:ascii="Times New Roman" w:hAnsi="Times New Roman"/>
          <w:bCs/>
          <w:sz w:val="16"/>
          <w:szCs w:val="16"/>
          <w:lang w:val="de-DE"/>
        </w:rPr>
        <w:t>ie</w:t>
      </w:r>
      <w:r w:rsidR="009C07E6" w:rsidRPr="00DC35C0">
        <w:rPr>
          <w:rFonts w:ascii="Times New Roman" w:hAnsi="Times New Roman"/>
          <w:bCs/>
          <w:sz w:val="16"/>
          <w:szCs w:val="16"/>
          <w:lang w:val="de-DE"/>
        </w:rPr>
        <w:t xml:space="preserve">lt hingegen ein </w:t>
      </w:r>
      <w:r w:rsidR="009C07E6" w:rsidRPr="00DC35C0">
        <w:rPr>
          <w:rFonts w:ascii="Times New Roman" w:hAnsi="Times New Roman"/>
          <w:sz w:val="16"/>
          <w:szCs w:val="16"/>
          <w:lang w:val="de-DE"/>
        </w:rPr>
        <w:t>Verfahrenshindernis</w:t>
      </w:r>
      <w:r w:rsidR="00DA1566" w:rsidRPr="00DC35C0">
        <w:rPr>
          <w:rFonts w:ascii="Times New Roman" w:hAnsi="Times New Roman"/>
          <w:sz w:val="16"/>
          <w:szCs w:val="16"/>
          <w:lang w:val="de-DE"/>
        </w:rPr>
        <w:t xml:space="preserve"> </w:t>
      </w:r>
      <w:r w:rsidR="00CD326B" w:rsidRPr="00DC35C0">
        <w:rPr>
          <w:rFonts w:ascii="Times New Roman" w:hAnsi="Times New Roman"/>
          <w:sz w:val="16"/>
          <w:szCs w:val="16"/>
          <w:lang w:val="de-DE"/>
        </w:rPr>
        <w:t xml:space="preserve">nur in extremen Ausnahmefällen </w:t>
      </w:r>
      <w:r w:rsidR="009C07E6" w:rsidRPr="00DC35C0">
        <w:rPr>
          <w:rFonts w:ascii="Times New Roman" w:hAnsi="Times New Roman"/>
          <w:sz w:val="16"/>
          <w:szCs w:val="16"/>
          <w:lang w:val="de-DE"/>
        </w:rPr>
        <w:t xml:space="preserve">für </w:t>
      </w:r>
      <w:r w:rsidR="00CD326B" w:rsidRPr="00DC35C0">
        <w:rPr>
          <w:rFonts w:ascii="Times New Roman" w:hAnsi="Times New Roman"/>
          <w:sz w:val="16"/>
          <w:szCs w:val="16"/>
          <w:lang w:val="de-DE"/>
        </w:rPr>
        <w:t>möglich</w:t>
      </w:r>
      <w:r w:rsidR="009355F5" w:rsidRPr="00DC35C0">
        <w:rPr>
          <w:rFonts w:ascii="Times New Roman" w:hAnsi="Times New Roman"/>
          <w:sz w:val="16"/>
          <w:szCs w:val="16"/>
          <w:lang w:val="de-DE"/>
        </w:rPr>
        <w:t xml:space="preserve">. </w:t>
      </w:r>
      <w:r w:rsidR="00DA1566" w:rsidRPr="00DC35C0">
        <w:rPr>
          <w:rFonts w:ascii="Times New Roman" w:eastAsia="Times New Roman" w:hAnsi="Times New Roman"/>
          <w:sz w:val="16"/>
          <w:szCs w:val="16"/>
          <w:lang w:val="de-DE"/>
        </w:rPr>
        <w:t>Nach</w:t>
      </w:r>
      <w:r w:rsidR="006A4F74" w:rsidRPr="00DC35C0">
        <w:rPr>
          <w:rFonts w:ascii="Times New Roman" w:eastAsia="Times New Roman" w:hAnsi="Times New Roman"/>
          <w:sz w:val="16"/>
          <w:szCs w:val="16"/>
          <w:lang w:val="de-DE"/>
        </w:rPr>
        <w:t>dem der EGMR 2021 erneut die Strafzumessungslösung ab</w:t>
      </w:r>
      <w:r w:rsidR="00DC35C0">
        <w:rPr>
          <w:rFonts w:ascii="Times New Roman" w:eastAsia="Times New Roman" w:hAnsi="Times New Roman"/>
          <w:sz w:val="16"/>
          <w:szCs w:val="16"/>
          <w:lang w:val="de-DE"/>
        </w:rPr>
        <w:t>gelehnt hat</w:t>
      </w:r>
      <w:r w:rsidR="006A4F74" w:rsidRPr="00DC35C0">
        <w:rPr>
          <w:rFonts w:ascii="Times New Roman" w:eastAsia="Times New Roman" w:hAnsi="Times New Roman"/>
          <w:sz w:val="16"/>
          <w:szCs w:val="16"/>
          <w:lang w:val="de-DE"/>
        </w:rPr>
        <w:t>, lässt der 1.</w:t>
      </w:r>
      <w:r w:rsidR="00C30CCE" w:rsidRPr="00DC35C0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="006A4F74"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Senat des BGH </w:t>
      </w:r>
      <w:r w:rsidR="00C30CCE"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in einer </w:t>
      </w:r>
      <w:r w:rsidR="00DA1566" w:rsidRPr="00DC35C0">
        <w:rPr>
          <w:rFonts w:ascii="Times New Roman" w:eastAsia="Times New Roman" w:hAnsi="Times New Roman"/>
          <w:sz w:val="16"/>
          <w:szCs w:val="16"/>
          <w:lang w:val="de-DE"/>
        </w:rPr>
        <w:t>neuere</w:t>
      </w:r>
      <w:r w:rsidR="00CD326B" w:rsidRPr="00DC35C0">
        <w:rPr>
          <w:rFonts w:ascii="Times New Roman" w:eastAsia="Times New Roman" w:hAnsi="Times New Roman"/>
          <w:sz w:val="16"/>
          <w:szCs w:val="16"/>
          <w:lang w:val="de-DE"/>
        </w:rPr>
        <w:t>n</w:t>
      </w:r>
      <w:r w:rsidR="00DA1566"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 Entscheidung aus dem Jahr 2021 (</w:t>
      </w:r>
      <w:r w:rsidR="00DA1566" w:rsidRPr="00DC35C0">
        <w:rPr>
          <w:rFonts w:ascii="Times New Roman" w:eastAsia="Times New Roman" w:hAnsi="Times New Roman"/>
          <w:b/>
          <w:bCs/>
          <w:sz w:val="16"/>
          <w:szCs w:val="16"/>
          <w:lang w:val="de-DE"/>
        </w:rPr>
        <w:t>NStZ 2023, 243</w:t>
      </w:r>
      <w:r w:rsidR="00DA1566"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) erkennen, dass auch er nun </w:t>
      </w:r>
      <w:r w:rsidR="00C30CCE" w:rsidRPr="00DC35C0">
        <w:rPr>
          <w:rFonts w:ascii="Times New Roman" w:eastAsia="Times New Roman" w:hAnsi="Times New Roman"/>
          <w:sz w:val="16"/>
          <w:szCs w:val="16"/>
          <w:lang w:val="de-DE"/>
        </w:rPr>
        <w:t>im Falle einer rechtsstaatswidrigen Tatprovokation</w:t>
      </w:r>
      <w:r w:rsidR="00CD326B"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 </w:t>
      </w:r>
      <w:r w:rsidR="00DA1566"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ein Verfahrenshindernis </w:t>
      </w:r>
      <w:r w:rsidR="00CD326B" w:rsidRPr="00DC35C0">
        <w:rPr>
          <w:rFonts w:ascii="Times New Roman" w:eastAsia="Times New Roman" w:hAnsi="Times New Roman"/>
          <w:sz w:val="16"/>
          <w:szCs w:val="16"/>
          <w:lang w:val="de-DE"/>
        </w:rPr>
        <w:t>annimmt</w:t>
      </w:r>
      <w:r w:rsidR="00DA1566" w:rsidRPr="00DC35C0">
        <w:rPr>
          <w:rFonts w:ascii="Times New Roman" w:eastAsia="Times New Roman" w:hAnsi="Times New Roman"/>
          <w:sz w:val="16"/>
          <w:szCs w:val="16"/>
          <w:lang w:val="de-DE"/>
        </w:rPr>
        <w:t>.</w:t>
      </w:r>
    </w:p>
    <w:p w14:paraId="4748C29B" w14:textId="52371BC3" w:rsidR="008109C2" w:rsidRPr="00DC35C0" w:rsidRDefault="007A152F" w:rsidP="006C67DB">
      <w:pPr>
        <w:pStyle w:val="FarbigeSchattierung-Akzent31"/>
        <w:numPr>
          <w:ilvl w:val="1"/>
          <w:numId w:val="2"/>
        </w:numPr>
        <w:tabs>
          <w:tab w:val="left" w:pos="712"/>
        </w:tabs>
        <w:spacing w:line="218" w:lineRule="auto"/>
        <w:ind w:right="141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 xml:space="preserve">Begrenzte Lebenserwartung </w:t>
      </w:r>
      <w:r w:rsidRPr="00DC35C0">
        <w:rPr>
          <w:rFonts w:ascii="Times New Roman" w:hAnsi="Times New Roman"/>
          <w:sz w:val="16"/>
          <w:szCs w:val="16"/>
          <w:u w:val="single" w:color="000000"/>
          <w:lang w:val="de-DE"/>
        </w:rPr>
        <w:t xml:space="preserve">des </w:t>
      </w: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Angeklagten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: </w:t>
      </w:r>
      <w:r w:rsidR="00AC4AC3">
        <w:rPr>
          <w:rFonts w:ascii="Times New Roman" w:hAnsi="Times New Roman"/>
          <w:spacing w:val="-3"/>
          <w:sz w:val="16"/>
          <w:szCs w:val="16"/>
          <w:lang w:val="de-DE"/>
        </w:rPr>
        <w:t xml:space="preserve">Der </w:t>
      </w:r>
      <w:proofErr w:type="spellStart"/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BerlVerfGH</w:t>
      </w:r>
      <w:proofErr w:type="spellEnd"/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 </w:t>
      </w:r>
      <w:r w:rsidR="00AC4AC3">
        <w:rPr>
          <w:rFonts w:ascii="Times New Roman" w:hAnsi="Times New Roman"/>
          <w:spacing w:val="-3"/>
          <w:sz w:val="16"/>
          <w:szCs w:val="16"/>
          <w:lang w:val="de-DE"/>
        </w:rPr>
        <w:t>(</w:t>
      </w:r>
      <w:r w:rsidRPr="00093494">
        <w:rPr>
          <w:rFonts w:ascii="Times New Roman" w:hAnsi="Times New Roman"/>
          <w:b/>
          <w:bCs/>
          <w:sz w:val="16"/>
          <w:szCs w:val="16"/>
          <w:lang w:val="de-DE"/>
        </w:rPr>
        <w:t>NJW 1993, 515</w:t>
      </w:r>
      <w:r w:rsidR="00AC4AC3">
        <w:rPr>
          <w:rFonts w:ascii="Times New Roman" w:hAnsi="Times New Roman"/>
          <w:sz w:val="16"/>
          <w:szCs w:val="16"/>
          <w:lang w:val="de-DE"/>
        </w:rPr>
        <w:t>)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 nahm im </w:t>
      </w:r>
      <w:r w:rsidRPr="00DC35C0">
        <w:rPr>
          <w:rFonts w:ascii="Times New Roman" w:hAnsi="Times New Roman"/>
          <w:spacing w:val="-4"/>
          <w:sz w:val="16"/>
          <w:szCs w:val="16"/>
          <w:lang w:val="de-DE"/>
        </w:rPr>
        <w:t xml:space="preserve">Fall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Honecker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ein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Verfahrenshindernis an, weil dieser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das Ende des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Verfahrens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nicht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mehr erleben würde;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dies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erscheint problematisch,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da auch die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Allgemeinheit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ein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Interesse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an der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Aufklärung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und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Aburteilung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der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Straftat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hat;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dieses Interesse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ist jedenfalls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gegen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die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Grundrechte </w:t>
      </w:r>
      <w:r w:rsidRPr="00DC35C0">
        <w:rPr>
          <w:rFonts w:ascii="Times New Roman" w:hAnsi="Times New Roman"/>
          <w:sz w:val="16"/>
          <w:szCs w:val="16"/>
          <w:lang w:val="de-DE"/>
        </w:rPr>
        <w:t xml:space="preserve">des 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>Angeklagten abzuwägen.</w:t>
      </w:r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 Wird hingegen das Leben des Angeklagten erst durch das Strafverfahren gefährdet, so liegt ein aus Art. 2 II 1 GG ableitbares Verfahrenshindernis vor (</w:t>
      </w:r>
      <w:r w:rsidR="006A2E3B" w:rsidRPr="00093494">
        <w:rPr>
          <w:rFonts w:ascii="Times New Roman" w:hAnsi="Times New Roman"/>
          <w:b/>
          <w:bCs/>
          <w:spacing w:val="-3"/>
          <w:sz w:val="16"/>
          <w:szCs w:val="16"/>
          <w:lang w:val="de-DE"/>
        </w:rPr>
        <w:t>BVerfG NJW 2002, 51</w:t>
      </w:r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>).</w:t>
      </w:r>
    </w:p>
    <w:p w14:paraId="4D5E9DCF" w14:textId="77777777" w:rsidR="008109C2" w:rsidRPr="00DC35C0" w:rsidRDefault="007A152F" w:rsidP="006C67DB">
      <w:pPr>
        <w:pStyle w:val="FarbigeSchattierung-Akzent31"/>
        <w:numPr>
          <w:ilvl w:val="1"/>
          <w:numId w:val="2"/>
        </w:numPr>
        <w:tabs>
          <w:tab w:val="left" w:pos="712"/>
        </w:tabs>
        <w:spacing w:line="218" w:lineRule="auto"/>
        <w:ind w:right="141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hAnsi="Times New Roman"/>
          <w:spacing w:val="-3"/>
          <w:sz w:val="16"/>
          <w:szCs w:val="16"/>
          <w:u w:val="single" w:color="000000"/>
          <w:lang w:val="de-DE"/>
        </w:rPr>
        <w:t>Überlange Verfahrensdauer</w:t>
      </w:r>
      <w:r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: </w:t>
      </w:r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Bei einem Verstoß gegen den Beschleunigungsgrundsatz (Art. 6 I 1 EMRK, Art. 2 I GG </w:t>
      </w:r>
      <w:proofErr w:type="spellStart"/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>i.V.m</w:t>
      </w:r>
      <w:proofErr w:type="spellEnd"/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. Art. 20 III GG) ist nur in </w:t>
      </w:r>
      <w:proofErr w:type="gramStart"/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>extrem gelagerten</w:t>
      </w:r>
      <w:proofErr w:type="gramEnd"/>
      <w:r w:rsidR="006A2E3B" w:rsidRPr="00DC35C0">
        <w:rPr>
          <w:rFonts w:ascii="Times New Roman" w:hAnsi="Times New Roman"/>
          <w:spacing w:val="-3"/>
          <w:sz w:val="16"/>
          <w:szCs w:val="16"/>
          <w:lang w:val="de-DE"/>
        </w:rPr>
        <w:t xml:space="preserve"> Fällen ein Verfahrenshindernis anzunehmen. 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Dies setzt voraus, dass wegen des Ausmaßes der Verzögerung und den damit verbundenen Belastungen des Beschuldigten ein anerkennenswertes Strafverfolgungsinteresse nicht mehr vorhanden ist. Im Allgemeinen lehnt der </w:t>
      </w:r>
      <w:r w:rsidR="00AF02AA" w:rsidRPr="00093494">
        <w:rPr>
          <w:rFonts w:ascii="Times New Roman" w:hAnsi="Times New Roman"/>
          <w:bCs/>
          <w:sz w:val="16"/>
          <w:szCs w:val="16"/>
          <w:lang w:val="de-DE"/>
        </w:rPr>
        <w:t>BGH</w:t>
      </w:r>
      <w:r w:rsidR="00AF02AA" w:rsidRPr="00DC35C0">
        <w:rPr>
          <w:rFonts w:ascii="Times New Roman" w:hAnsi="Times New Roman"/>
          <w:sz w:val="16"/>
          <w:szCs w:val="16"/>
          <w:lang w:val="de-DE"/>
        </w:rPr>
        <w:t xml:space="preserve"> ein solches jedoch ab und kompensiert den Verfahrensverstoß, indem ein Teil der Strafe bereits als verbüßt gilt (Vollstreckungslösung).</w:t>
      </w:r>
    </w:p>
    <w:p w14:paraId="41D8DE73" w14:textId="066FA7E6" w:rsidR="008109C2" w:rsidRPr="00DC35C0" w:rsidRDefault="007A152F" w:rsidP="006C67DB">
      <w:pPr>
        <w:pStyle w:val="FarbigeSchattierung-Akzent31"/>
        <w:numPr>
          <w:ilvl w:val="0"/>
          <w:numId w:val="2"/>
        </w:numPr>
        <w:tabs>
          <w:tab w:val="left" w:pos="419"/>
        </w:tabs>
        <w:spacing w:line="218" w:lineRule="auto"/>
        <w:ind w:right="140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DC35C0">
        <w:rPr>
          <w:rFonts w:ascii="Times New Roman" w:eastAsia="Times New Roman" w:hAnsi="Times New Roman"/>
          <w:b/>
          <w:bCs/>
          <w:spacing w:val="-3"/>
          <w:sz w:val="16"/>
          <w:szCs w:val="16"/>
          <w:lang w:val="de-DE"/>
        </w:rPr>
        <w:t xml:space="preserve">Folgen </w:t>
      </w:r>
      <w:r w:rsidRPr="00DC35C0">
        <w:rPr>
          <w:rFonts w:ascii="Times New Roman" w:eastAsia="Times New Roman" w:hAnsi="Times New Roman"/>
          <w:b/>
          <w:bCs/>
          <w:sz w:val="16"/>
          <w:szCs w:val="16"/>
          <w:lang w:val="de-DE"/>
        </w:rPr>
        <w:t xml:space="preserve">des </w:t>
      </w:r>
      <w:r w:rsidRPr="00DC35C0">
        <w:rPr>
          <w:rFonts w:ascii="Times New Roman" w:eastAsia="Times New Roman" w:hAnsi="Times New Roman"/>
          <w:b/>
          <w:bCs/>
          <w:spacing w:val="-3"/>
          <w:sz w:val="16"/>
          <w:szCs w:val="16"/>
          <w:lang w:val="de-DE"/>
        </w:rPr>
        <w:t xml:space="preserve">Fehlens </w:t>
      </w:r>
      <w:r w:rsidR="003D2E99" w:rsidRPr="00DC35C0">
        <w:rPr>
          <w:rFonts w:ascii="Times New Roman" w:eastAsia="Times New Roman" w:hAnsi="Times New Roman"/>
          <w:b/>
          <w:bCs/>
          <w:spacing w:val="-2"/>
          <w:sz w:val="16"/>
          <w:szCs w:val="16"/>
          <w:lang w:val="de-DE"/>
        </w:rPr>
        <w:t xml:space="preserve">einer </w:t>
      </w:r>
      <w:r w:rsidRPr="00DC35C0">
        <w:rPr>
          <w:rFonts w:ascii="Times New Roman" w:eastAsia="Times New Roman" w:hAnsi="Times New Roman"/>
          <w:b/>
          <w:bCs/>
          <w:spacing w:val="-3"/>
          <w:sz w:val="16"/>
          <w:szCs w:val="16"/>
          <w:lang w:val="de-DE"/>
        </w:rPr>
        <w:t xml:space="preserve">Prozessvoraussetzung: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Teilweise können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fehlende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Prozessvoraussetzungen nachträglich </w:t>
      </w:r>
      <w:r w:rsidRPr="00DC35C0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korrigiert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werden. In diesem </w:t>
      </w:r>
      <w:r w:rsidRPr="00DC35C0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Fall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ist das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Verfahren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bis zur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Korrektur (im Vorverfahren durch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proofErr w:type="spellStart"/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StA</w:t>
      </w:r>
      <w:proofErr w:type="spellEnd"/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,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im </w:t>
      </w:r>
      <w:r w:rsidRPr="00DC35C0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Zwi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schen- und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Hauptverfahren durch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das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Gericht)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nur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vorübergehend einzustellen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(§</w:t>
      </w:r>
      <w:r w:rsidR="001E24D7" w:rsidRPr="00DC35C0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205</w:t>
      </w:r>
      <w:r w:rsidR="001E24D7" w:rsidRPr="00DC35C0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StPO analog);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bei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endgültigen Hindernissen er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folgt eine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endgültige Einstellung (im Vorverfahren durch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proofErr w:type="spellStart"/>
      <w:r w:rsidRPr="00DC35C0">
        <w:rPr>
          <w:rFonts w:ascii="Times New Roman" w:eastAsia="Times New Roman" w:hAnsi="Times New Roman"/>
          <w:sz w:val="16"/>
          <w:szCs w:val="16"/>
          <w:lang w:val="de-DE"/>
        </w:rPr>
        <w:t>StA</w:t>
      </w:r>
      <w:proofErr w:type="spellEnd"/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gemäß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AC4AC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170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II StPO,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im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Zwischenverfahren durch Ablehnung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DC35C0">
        <w:rPr>
          <w:rFonts w:ascii="Times New Roman" w:eastAsia="Times New Roman" w:hAnsi="Times New Roman"/>
          <w:spacing w:val="-2"/>
          <w:sz w:val="16"/>
          <w:szCs w:val="16"/>
          <w:lang w:val="de-DE"/>
        </w:rPr>
        <w:t xml:space="preserve">Eröffnung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des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Hauptverfahrens,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AC4AC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204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StPO,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im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Hauptverfahren </w:t>
      </w:r>
      <w:r w:rsidRPr="00DC35C0">
        <w:rPr>
          <w:rFonts w:ascii="Times New Roman" w:eastAsia="Times New Roman" w:hAnsi="Times New Roman"/>
          <w:spacing w:val="-2"/>
          <w:sz w:val="16"/>
          <w:szCs w:val="16"/>
          <w:lang w:val="de-DE"/>
        </w:rPr>
        <w:t xml:space="preserve">vor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Beginn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Hauptverhandlung durch Beschluss,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1E24D7" w:rsidRPr="00DC35C0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206a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StPO, während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DC35C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Hauptverhandlung durch Prozessurteil, 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AC4AC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DC35C0">
        <w:rPr>
          <w:rFonts w:ascii="Times New Roman" w:eastAsia="Times New Roman" w:hAnsi="Times New Roman"/>
          <w:sz w:val="16"/>
          <w:szCs w:val="16"/>
          <w:lang w:val="de-DE"/>
        </w:rPr>
        <w:t xml:space="preserve">260 </w:t>
      </w:r>
      <w:r w:rsidRPr="00DC35C0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III</w:t>
      </w:r>
      <w:r w:rsidRPr="00DC35C0">
        <w:rPr>
          <w:rFonts w:ascii="Times New Roman" w:eastAsia="Times New Roman" w:hAnsi="Times New Roman"/>
          <w:spacing w:val="-21"/>
          <w:sz w:val="16"/>
          <w:szCs w:val="16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StPO</w:t>
      </w:r>
      <w:r w:rsidR="00940D96" w:rsidRPr="00DC35C0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)</w:t>
      </w:r>
      <w:r w:rsidRPr="00DC35C0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.</w:t>
      </w:r>
    </w:p>
    <w:p w14:paraId="37DAA9DC" w14:textId="77777777" w:rsidR="00E64871" w:rsidRPr="00DC35C0" w:rsidRDefault="00E64871" w:rsidP="006C67DB">
      <w:pPr>
        <w:tabs>
          <w:tab w:val="left" w:pos="2119"/>
        </w:tabs>
        <w:spacing w:line="218" w:lineRule="auto"/>
        <w:ind w:left="135"/>
        <w:jc w:val="both"/>
        <w:rPr>
          <w:rFonts w:ascii="Times New Roman" w:eastAsia="Times New Roman" w:hAnsi="Times New Roman"/>
          <w:b/>
          <w:bCs/>
          <w:spacing w:val="-3"/>
          <w:sz w:val="14"/>
          <w:szCs w:val="14"/>
          <w:lang w:val="de-DE"/>
        </w:rPr>
      </w:pPr>
    </w:p>
    <w:p w14:paraId="5AB32CB8" w14:textId="70D08740" w:rsidR="008109C2" w:rsidRPr="00DC35C0" w:rsidRDefault="007A152F" w:rsidP="006C67DB">
      <w:pPr>
        <w:tabs>
          <w:tab w:val="left" w:pos="2119"/>
        </w:tabs>
        <w:spacing w:line="218" w:lineRule="auto"/>
        <w:ind w:left="135"/>
        <w:jc w:val="both"/>
        <w:rPr>
          <w:rFonts w:ascii="Times New Roman" w:eastAsia="Times New Roman" w:hAnsi="Times New Roman"/>
          <w:sz w:val="15"/>
          <w:szCs w:val="15"/>
          <w:lang w:val="de-DE"/>
        </w:rPr>
      </w:pPr>
      <w:r w:rsidRPr="00DC35C0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>Literatur/Lehrbücher:</w:t>
      </w:r>
      <w:r w:rsidRPr="00DC35C0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ab/>
      </w:r>
      <w:r w:rsidR="006A2E3B" w:rsidRPr="00DC35C0">
        <w:rPr>
          <w:rFonts w:ascii="Times New Roman" w:eastAsia="Times New Roman" w:hAnsi="Times New Roman"/>
          <w:bCs/>
          <w:i/>
          <w:spacing w:val="-3"/>
          <w:sz w:val="15"/>
          <w:szCs w:val="15"/>
          <w:lang w:val="de-DE"/>
        </w:rPr>
        <w:t>Heinrich/Reinbacher</w:t>
      </w:r>
      <w:r w:rsidR="006A2E3B" w:rsidRPr="00DC35C0">
        <w:rPr>
          <w:rFonts w:ascii="Times New Roman" w:eastAsia="Times New Roman" w:hAnsi="Times New Roman"/>
          <w:bCs/>
          <w:spacing w:val="-3"/>
          <w:sz w:val="15"/>
          <w:szCs w:val="15"/>
          <w:lang w:val="de-DE"/>
        </w:rPr>
        <w:t>, Examinatorium Strafprozessrecht,</w:t>
      </w:r>
      <w:r w:rsidR="009E4534" w:rsidRPr="00DC35C0">
        <w:rPr>
          <w:rFonts w:ascii="Times New Roman" w:hAnsi="Times New Roman"/>
          <w:spacing w:val="-2"/>
          <w:sz w:val="15"/>
          <w:szCs w:val="15"/>
          <w:lang w:val="de-DE"/>
        </w:rPr>
        <w:t xml:space="preserve"> </w:t>
      </w:r>
      <w:r w:rsidR="00222594" w:rsidRPr="00DC35C0">
        <w:rPr>
          <w:rFonts w:ascii="Times New Roman" w:hAnsi="Times New Roman"/>
          <w:spacing w:val="-2"/>
          <w:sz w:val="15"/>
          <w:szCs w:val="15"/>
          <w:lang w:val="de-DE"/>
        </w:rPr>
        <w:t>4</w:t>
      </w:r>
      <w:r w:rsidR="009E4534" w:rsidRPr="00DC35C0">
        <w:rPr>
          <w:rFonts w:ascii="Times New Roman" w:hAnsi="Times New Roman"/>
          <w:spacing w:val="-2"/>
          <w:sz w:val="15"/>
          <w:szCs w:val="15"/>
          <w:lang w:val="de-DE"/>
        </w:rPr>
        <w:t>. Auflage 20</w:t>
      </w:r>
      <w:r w:rsidR="00B254DC" w:rsidRPr="00DC35C0">
        <w:rPr>
          <w:rFonts w:ascii="Times New Roman" w:hAnsi="Times New Roman"/>
          <w:spacing w:val="-2"/>
          <w:sz w:val="15"/>
          <w:szCs w:val="15"/>
          <w:lang w:val="de-DE"/>
        </w:rPr>
        <w:t>2</w:t>
      </w:r>
      <w:r w:rsidR="00222594" w:rsidRPr="00DC35C0">
        <w:rPr>
          <w:rFonts w:ascii="Times New Roman" w:hAnsi="Times New Roman"/>
          <w:spacing w:val="-2"/>
          <w:sz w:val="15"/>
          <w:szCs w:val="15"/>
          <w:lang w:val="de-DE"/>
        </w:rPr>
        <w:t>3</w:t>
      </w:r>
      <w:r w:rsidR="009E4534" w:rsidRPr="00DC35C0">
        <w:rPr>
          <w:rFonts w:ascii="Times New Roman" w:hAnsi="Times New Roman"/>
          <w:spacing w:val="-2"/>
          <w:sz w:val="15"/>
          <w:szCs w:val="15"/>
          <w:lang w:val="de-DE"/>
        </w:rPr>
        <w:t>,</w:t>
      </w:r>
      <w:r w:rsidR="006A2E3B" w:rsidRPr="00DC35C0">
        <w:rPr>
          <w:rFonts w:ascii="Times New Roman" w:eastAsia="Times New Roman" w:hAnsi="Times New Roman"/>
          <w:bCs/>
          <w:spacing w:val="-3"/>
          <w:sz w:val="15"/>
          <w:szCs w:val="15"/>
          <w:lang w:val="de-DE"/>
        </w:rPr>
        <w:t xml:space="preserve"> Problem</w:t>
      </w:r>
      <w:r w:rsidR="00AC4AC3">
        <w:rPr>
          <w:rFonts w:ascii="Times New Roman" w:eastAsia="Times New Roman" w:hAnsi="Times New Roman"/>
          <w:bCs/>
          <w:spacing w:val="-3"/>
          <w:sz w:val="15"/>
          <w:szCs w:val="15"/>
          <w:lang w:val="de-DE"/>
        </w:rPr>
        <w:t> </w:t>
      </w:r>
      <w:r w:rsidR="006A2E3B" w:rsidRPr="00DC35C0">
        <w:rPr>
          <w:rFonts w:ascii="Times New Roman" w:eastAsia="Times New Roman" w:hAnsi="Times New Roman"/>
          <w:bCs/>
          <w:spacing w:val="-3"/>
          <w:sz w:val="15"/>
          <w:szCs w:val="15"/>
          <w:lang w:val="de-DE"/>
        </w:rPr>
        <w:t>10.</w:t>
      </w:r>
    </w:p>
    <w:p w14:paraId="26C779D8" w14:textId="3A0C3F08" w:rsidR="008109C2" w:rsidRPr="00DC35C0" w:rsidRDefault="007A152F" w:rsidP="006C67DB">
      <w:pPr>
        <w:tabs>
          <w:tab w:val="left" w:pos="2119"/>
        </w:tabs>
        <w:spacing w:before="8" w:line="218" w:lineRule="auto"/>
        <w:ind w:left="2120" w:right="141" w:hanging="1985"/>
        <w:jc w:val="both"/>
        <w:rPr>
          <w:rFonts w:ascii="Times New Roman" w:eastAsia="Times New Roman" w:hAnsi="Times New Roman"/>
          <w:sz w:val="15"/>
          <w:szCs w:val="15"/>
          <w:lang w:val="de-DE"/>
        </w:rPr>
      </w:pPr>
      <w:r w:rsidRPr="00DC35C0">
        <w:rPr>
          <w:rFonts w:ascii="Times New Roman" w:hAnsi="Times New Roman"/>
          <w:b/>
          <w:spacing w:val="-3"/>
          <w:sz w:val="15"/>
          <w:szCs w:val="15"/>
          <w:lang w:val="de-DE"/>
        </w:rPr>
        <w:t>Literatur/Aufsätze:</w:t>
      </w:r>
      <w:r w:rsidRPr="00DC35C0">
        <w:rPr>
          <w:rFonts w:ascii="Times New Roman" w:hAnsi="Times New Roman"/>
          <w:b/>
          <w:spacing w:val="-3"/>
          <w:sz w:val="15"/>
          <w:szCs w:val="15"/>
          <w:lang w:val="de-DE"/>
        </w:rPr>
        <w:tab/>
      </w:r>
      <w:r w:rsidR="00C5491C" w:rsidRPr="00DC35C0">
        <w:rPr>
          <w:rFonts w:ascii="Times New Roman" w:hAnsi="Times New Roman"/>
          <w:i/>
          <w:sz w:val="15"/>
          <w:szCs w:val="15"/>
          <w:lang w:val="de-DE"/>
        </w:rPr>
        <w:t>Bosch</w:t>
      </w:r>
      <w:r w:rsidR="00C5491C" w:rsidRPr="00DC35C0">
        <w:rPr>
          <w:rFonts w:ascii="Times New Roman" w:hAnsi="Times New Roman"/>
          <w:sz w:val="15"/>
          <w:szCs w:val="15"/>
          <w:lang w:val="de-DE"/>
        </w:rPr>
        <w:t xml:space="preserve">, Der Strafantrag, JURA 2013, 368; </w:t>
      </w:r>
      <w:r w:rsidR="00C5491C" w:rsidRPr="00DC35C0">
        <w:rPr>
          <w:rFonts w:ascii="Times New Roman" w:hAnsi="Times New Roman"/>
          <w:i/>
          <w:sz w:val="15"/>
          <w:szCs w:val="15"/>
          <w:lang w:val="de-DE"/>
        </w:rPr>
        <w:t>Huber</w:t>
      </w:r>
      <w:r w:rsidR="00C5491C" w:rsidRPr="00DC35C0">
        <w:rPr>
          <w:rFonts w:ascii="Times New Roman" w:hAnsi="Times New Roman"/>
          <w:sz w:val="15"/>
          <w:szCs w:val="15"/>
          <w:lang w:val="de-DE"/>
        </w:rPr>
        <w:t xml:space="preserve">, Grundwissen – Strafprozessrecht: In </w:t>
      </w:r>
      <w:proofErr w:type="spellStart"/>
      <w:r w:rsidR="00C5491C" w:rsidRPr="00DC35C0">
        <w:rPr>
          <w:rFonts w:ascii="Times New Roman" w:hAnsi="Times New Roman"/>
          <w:sz w:val="15"/>
          <w:szCs w:val="15"/>
          <w:lang w:val="de-DE"/>
        </w:rPr>
        <w:t>dubio</w:t>
      </w:r>
      <w:proofErr w:type="spellEnd"/>
      <w:r w:rsidR="00C5491C" w:rsidRPr="00DC35C0">
        <w:rPr>
          <w:rFonts w:ascii="Times New Roman" w:hAnsi="Times New Roman"/>
          <w:sz w:val="15"/>
          <w:szCs w:val="15"/>
          <w:lang w:val="de-DE"/>
        </w:rPr>
        <w:t xml:space="preserve"> pro </w:t>
      </w:r>
      <w:proofErr w:type="spellStart"/>
      <w:r w:rsidR="00C5491C" w:rsidRPr="00DC35C0">
        <w:rPr>
          <w:rFonts w:ascii="Times New Roman" w:hAnsi="Times New Roman"/>
          <w:sz w:val="15"/>
          <w:szCs w:val="15"/>
          <w:lang w:val="de-DE"/>
        </w:rPr>
        <w:t>reo</w:t>
      </w:r>
      <w:proofErr w:type="spellEnd"/>
      <w:r w:rsidR="00C5491C" w:rsidRPr="00DC35C0">
        <w:rPr>
          <w:rFonts w:ascii="Times New Roman" w:hAnsi="Times New Roman"/>
          <w:sz w:val="15"/>
          <w:szCs w:val="15"/>
          <w:lang w:val="de-DE"/>
        </w:rPr>
        <w:t xml:space="preserve">, </w:t>
      </w:r>
      <w:proofErr w:type="spellStart"/>
      <w:r w:rsidR="00C5491C" w:rsidRPr="00DC35C0">
        <w:rPr>
          <w:rFonts w:ascii="Times New Roman" w:hAnsi="Times New Roman"/>
          <w:sz w:val="15"/>
          <w:szCs w:val="15"/>
          <w:lang w:val="de-DE"/>
        </w:rPr>
        <w:t>JuS</w:t>
      </w:r>
      <w:proofErr w:type="spellEnd"/>
      <w:r w:rsidR="00C5491C" w:rsidRPr="00DC35C0">
        <w:rPr>
          <w:rFonts w:ascii="Times New Roman" w:hAnsi="Times New Roman"/>
          <w:sz w:val="15"/>
          <w:szCs w:val="15"/>
          <w:lang w:val="de-DE"/>
        </w:rPr>
        <w:t xml:space="preserve"> 2015, 596; </w:t>
      </w:r>
      <w:r w:rsidRPr="00DC35C0">
        <w:rPr>
          <w:rFonts w:ascii="Times New Roman" w:hAnsi="Times New Roman"/>
          <w:i/>
          <w:spacing w:val="-3"/>
          <w:sz w:val="15"/>
          <w:szCs w:val="15"/>
          <w:lang w:val="de-DE"/>
        </w:rPr>
        <w:t>Meyer-Goßner</w:t>
      </w:r>
      <w:r w:rsidRPr="00DC35C0">
        <w:rPr>
          <w:rFonts w:ascii="Times New Roman" w:hAnsi="Times New Roman"/>
          <w:spacing w:val="-3"/>
          <w:sz w:val="15"/>
          <w:szCs w:val="15"/>
          <w:lang w:val="de-DE"/>
        </w:rPr>
        <w:t>,</w:t>
      </w:r>
      <w:r w:rsidR="00310ED6" w:rsidRPr="00DC35C0">
        <w:rPr>
          <w:rFonts w:ascii="Times New Roman" w:hAnsi="Times New Roman"/>
          <w:spacing w:val="-3"/>
          <w:sz w:val="15"/>
          <w:szCs w:val="15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5"/>
          <w:szCs w:val="15"/>
          <w:lang w:val="de-DE"/>
        </w:rPr>
        <w:t xml:space="preserve">Sind Verfahrenshindernisse </w:t>
      </w:r>
      <w:r w:rsidRPr="00DC35C0">
        <w:rPr>
          <w:rFonts w:ascii="Times New Roman" w:hAnsi="Times New Roman"/>
          <w:spacing w:val="-4"/>
          <w:sz w:val="15"/>
          <w:szCs w:val="15"/>
          <w:lang w:val="de-DE"/>
        </w:rPr>
        <w:t xml:space="preserve">von </w:t>
      </w:r>
      <w:r w:rsidRPr="00DC35C0">
        <w:rPr>
          <w:rFonts w:ascii="Times New Roman" w:hAnsi="Times New Roman"/>
          <w:spacing w:val="-3"/>
          <w:sz w:val="15"/>
          <w:szCs w:val="15"/>
          <w:lang w:val="de-DE"/>
        </w:rPr>
        <w:t xml:space="preserve">Amts </w:t>
      </w:r>
      <w:r w:rsidRPr="00DC35C0">
        <w:rPr>
          <w:rFonts w:ascii="Times New Roman" w:hAnsi="Times New Roman"/>
          <w:spacing w:val="-4"/>
          <w:sz w:val="15"/>
          <w:szCs w:val="15"/>
          <w:lang w:val="de-DE"/>
        </w:rPr>
        <w:t xml:space="preserve">wegen </w:t>
      </w:r>
      <w:r w:rsidRPr="00DC35C0">
        <w:rPr>
          <w:rFonts w:ascii="Times New Roman" w:hAnsi="Times New Roman"/>
          <w:sz w:val="15"/>
          <w:szCs w:val="15"/>
          <w:lang w:val="de-DE"/>
        </w:rPr>
        <w:t xml:space="preserve">zu </w:t>
      </w:r>
      <w:r w:rsidRPr="00DC35C0">
        <w:rPr>
          <w:rFonts w:ascii="Times New Roman" w:hAnsi="Times New Roman"/>
          <w:spacing w:val="-3"/>
          <w:sz w:val="15"/>
          <w:szCs w:val="15"/>
          <w:lang w:val="de-DE"/>
        </w:rPr>
        <w:t xml:space="preserve">beachten?, NStZ </w:t>
      </w:r>
      <w:r w:rsidRPr="00DC35C0">
        <w:rPr>
          <w:rFonts w:ascii="Times New Roman" w:hAnsi="Times New Roman"/>
          <w:sz w:val="15"/>
          <w:szCs w:val="15"/>
          <w:lang w:val="de-DE"/>
        </w:rPr>
        <w:t>2003, 169;</w:t>
      </w:r>
      <w:r w:rsidR="00B8088B" w:rsidRPr="00DC35C0">
        <w:rPr>
          <w:rFonts w:ascii="Times New Roman" w:hAnsi="Times New Roman"/>
          <w:sz w:val="15"/>
          <w:szCs w:val="15"/>
          <w:lang w:val="de-DE"/>
        </w:rPr>
        <w:t xml:space="preserve"> </w:t>
      </w:r>
      <w:r w:rsidR="00B8088B" w:rsidRPr="00DC35C0">
        <w:rPr>
          <w:rFonts w:ascii="Times New Roman" w:hAnsi="Times New Roman"/>
          <w:i/>
          <w:sz w:val="15"/>
          <w:szCs w:val="15"/>
          <w:lang w:val="de-DE"/>
        </w:rPr>
        <w:t>Liebhart</w:t>
      </w:r>
      <w:r w:rsidR="00B8088B" w:rsidRPr="00DC35C0">
        <w:rPr>
          <w:rFonts w:ascii="Times New Roman" w:hAnsi="Times New Roman"/>
          <w:sz w:val="15"/>
          <w:szCs w:val="15"/>
          <w:lang w:val="de-DE"/>
        </w:rPr>
        <w:t>, Das Beschleunigungsgebot in Strafsachen – Grundlagen und Auswirkungen, NStZ 2017, 254;</w:t>
      </w:r>
      <w:r w:rsidRPr="00DC35C0">
        <w:rPr>
          <w:rFonts w:ascii="Times New Roman" w:hAnsi="Times New Roman"/>
          <w:sz w:val="15"/>
          <w:szCs w:val="15"/>
          <w:lang w:val="de-DE"/>
        </w:rPr>
        <w:t xml:space="preserve"> </w:t>
      </w:r>
      <w:r w:rsidR="00C5491C" w:rsidRPr="00DC35C0">
        <w:rPr>
          <w:rFonts w:ascii="Times New Roman" w:hAnsi="Times New Roman"/>
          <w:i/>
          <w:sz w:val="15"/>
          <w:szCs w:val="15"/>
          <w:lang w:val="de-DE"/>
        </w:rPr>
        <w:t>Mitsch</w:t>
      </w:r>
      <w:r w:rsidR="00C5491C" w:rsidRPr="00DC35C0">
        <w:rPr>
          <w:rFonts w:ascii="Times New Roman" w:hAnsi="Times New Roman"/>
          <w:sz w:val="15"/>
          <w:szCs w:val="15"/>
          <w:lang w:val="de-DE"/>
        </w:rPr>
        <w:t xml:space="preserve">, Strafantragsdelikte, JA 2014, 1; </w:t>
      </w:r>
      <w:r w:rsidRPr="00DC35C0">
        <w:rPr>
          <w:rFonts w:ascii="Times New Roman" w:hAnsi="Times New Roman"/>
          <w:i/>
          <w:sz w:val="15"/>
          <w:szCs w:val="15"/>
          <w:lang w:val="de-DE"/>
        </w:rPr>
        <w:t>Mürbe</w:t>
      </w:r>
      <w:r w:rsidRPr="00DC35C0">
        <w:rPr>
          <w:rFonts w:ascii="Times New Roman" w:hAnsi="Times New Roman"/>
          <w:sz w:val="15"/>
          <w:szCs w:val="15"/>
          <w:lang w:val="de-DE"/>
        </w:rPr>
        <w:t xml:space="preserve">, </w:t>
      </w:r>
      <w:r w:rsidRPr="00DC35C0">
        <w:rPr>
          <w:rFonts w:ascii="Times New Roman" w:hAnsi="Times New Roman"/>
          <w:spacing w:val="-3"/>
          <w:sz w:val="15"/>
          <w:szCs w:val="15"/>
          <w:lang w:val="de-DE"/>
        </w:rPr>
        <w:t>Fallen und</w:t>
      </w:r>
      <w:r w:rsidR="00CD3D68" w:rsidRPr="00DC35C0">
        <w:rPr>
          <w:rFonts w:ascii="Times New Roman" w:hAnsi="Times New Roman"/>
          <w:spacing w:val="14"/>
          <w:sz w:val="15"/>
          <w:szCs w:val="15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5"/>
          <w:szCs w:val="15"/>
          <w:lang w:val="de-DE"/>
        </w:rPr>
        <w:t>Fehler</w:t>
      </w:r>
      <w:r w:rsidRPr="00DC35C0">
        <w:rPr>
          <w:rFonts w:ascii="Times New Roman" w:hAnsi="Times New Roman"/>
          <w:spacing w:val="6"/>
          <w:sz w:val="15"/>
          <w:szCs w:val="15"/>
          <w:lang w:val="de-DE"/>
        </w:rPr>
        <w:t xml:space="preserve"> </w:t>
      </w:r>
      <w:r w:rsidRPr="00DC35C0">
        <w:rPr>
          <w:rFonts w:ascii="Times New Roman" w:hAnsi="Times New Roman"/>
          <w:spacing w:val="-2"/>
          <w:sz w:val="15"/>
          <w:szCs w:val="15"/>
          <w:lang w:val="de-DE"/>
        </w:rPr>
        <w:t>bei</w:t>
      </w:r>
      <w:r w:rsidRPr="00DC35C0">
        <w:rPr>
          <w:rFonts w:ascii="Times New Roman" w:hAnsi="Times New Roman"/>
          <w:sz w:val="15"/>
          <w:szCs w:val="15"/>
          <w:lang w:val="de-DE"/>
        </w:rPr>
        <w:t xml:space="preserve"> </w:t>
      </w:r>
      <w:r w:rsidRPr="00DC35C0">
        <w:rPr>
          <w:rFonts w:ascii="Times New Roman" w:hAnsi="Times New Roman"/>
          <w:spacing w:val="-3"/>
          <w:sz w:val="15"/>
          <w:szCs w:val="15"/>
          <w:lang w:val="de-DE"/>
        </w:rPr>
        <w:t xml:space="preserve">der Behandlung der strafprozessualen Prozessvoraussetzungen, </w:t>
      </w:r>
      <w:r w:rsidRPr="00DC35C0">
        <w:rPr>
          <w:rFonts w:ascii="Times New Roman" w:hAnsi="Times New Roman"/>
          <w:sz w:val="15"/>
          <w:szCs w:val="15"/>
          <w:lang w:val="de-DE"/>
        </w:rPr>
        <w:t>JA 1997,</w:t>
      </w:r>
      <w:r w:rsidRPr="00DC35C0">
        <w:rPr>
          <w:rFonts w:ascii="Times New Roman" w:hAnsi="Times New Roman"/>
          <w:spacing w:val="-9"/>
          <w:sz w:val="15"/>
          <w:szCs w:val="15"/>
          <w:lang w:val="de-DE"/>
        </w:rPr>
        <w:t xml:space="preserve"> </w:t>
      </w:r>
      <w:r w:rsidRPr="00DC35C0">
        <w:rPr>
          <w:rFonts w:ascii="Times New Roman" w:hAnsi="Times New Roman"/>
          <w:sz w:val="15"/>
          <w:szCs w:val="15"/>
          <w:lang w:val="de-DE"/>
        </w:rPr>
        <w:t>321</w:t>
      </w:r>
      <w:r w:rsidR="006A2E3B" w:rsidRPr="00DC35C0">
        <w:rPr>
          <w:rFonts w:ascii="Times New Roman" w:hAnsi="Times New Roman"/>
          <w:sz w:val="15"/>
          <w:szCs w:val="15"/>
          <w:lang w:val="de-DE"/>
        </w:rPr>
        <w:t xml:space="preserve">; </w:t>
      </w:r>
      <w:r w:rsidR="006A2E3B" w:rsidRPr="00DC35C0">
        <w:rPr>
          <w:rFonts w:ascii="Times New Roman" w:hAnsi="Times New Roman"/>
          <w:i/>
          <w:sz w:val="15"/>
          <w:szCs w:val="15"/>
          <w:lang w:val="de-DE"/>
        </w:rPr>
        <w:t>Satzger</w:t>
      </w:r>
      <w:r w:rsidR="006A2E3B" w:rsidRPr="00DC35C0">
        <w:rPr>
          <w:rFonts w:ascii="Times New Roman" w:hAnsi="Times New Roman"/>
          <w:sz w:val="15"/>
          <w:szCs w:val="15"/>
          <w:lang w:val="de-DE"/>
        </w:rPr>
        <w:t>, Die Verjährung im Strafrecht, JURA 2012, 433</w:t>
      </w:r>
      <w:r w:rsidR="00310ED6" w:rsidRPr="00DC35C0">
        <w:rPr>
          <w:rFonts w:ascii="Times New Roman" w:hAnsi="Times New Roman"/>
          <w:sz w:val="15"/>
          <w:szCs w:val="15"/>
          <w:lang w:val="de-DE"/>
        </w:rPr>
        <w:t xml:space="preserve">; </w:t>
      </w:r>
      <w:proofErr w:type="spellStart"/>
      <w:r w:rsidR="00CD3D68" w:rsidRPr="00DC35C0">
        <w:rPr>
          <w:rFonts w:ascii="Times New Roman" w:hAnsi="Times New Roman"/>
          <w:i/>
          <w:sz w:val="15"/>
          <w:szCs w:val="15"/>
          <w:lang w:val="de-DE"/>
        </w:rPr>
        <w:t>ders</w:t>
      </w:r>
      <w:proofErr w:type="spellEnd"/>
      <w:r w:rsidR="00CD3D68" w:rsidRPr="00DC35C0">
        <w:rPr>
          <w:rFonts w:ascii="Times New Roman" w:hAnsi="Times New Roman"/>
          <w:i/>
          <w:sz w:val="15"/>
          <w:szCs w:val="15"/>
          <w:lang w:val="de-DE"/>
        </w:rPr>
        <w:t>.</w:t>
      </w:r>
      <w:r w:rsidR="00310ED6" w:rsidRPr="00DC35C0">
        <w:rPr>
          <w:rFonts w:ascii="Times New Roman" w:hAnsi="Times New Roman"/>
          <w:sz w:val="15"/>
          <w:szCs w:val="15"/>
          <w:lang w:val="de-DE"/>
        </w:rPr>
        <w:t>, Kompensationswidrige Tatprovokation (Einsatz sog. Lockspitzel), JURA</w:t>
      </w:r>
      <w:r w:rsidR="00917D01" w:rsidRPr="00DC35C0">
        <w:rPr>
          <w:rFonts w:ascii="Times New Roman" w:hAnsi="Times New Roman"/>
          <w:sz w:val="15"/>
          <w:szCs w:val="15"/>
          <w:lang w:val="de-DE"/>
        </w:rPr>
        <w:t> </w:t>
      </w:r>
      <w:r w:rsidR="00310ED6" w:rsidRPr="00DC35C0">
        <w:rPr>
          <w:rFonts w:ascii="Times New Roman" w:hAnsi="Times New Roman"/>
          <w:sz w:val="15"/>
          <w:szCs w:val="15"/>
          <w:lang w:val="de-DE"/>
        </w:rPr>
        <w:t>2015, 660;</w:t>
      </w:r>
      <w:r w:rsidR="003304B9" w:rsidRPr="00DC35C0">
        <w:rPr>
          <w:rFonts w:ascii="Times New Roman" w:hAnsi="Times New Roman"/>
          <w:sz w:val="15"/>
          <w:szCs w:val="15"/>
          <w:lang w:val="de-DE"/>
        </w:rPr>
        <w:t xml:space="preserve"> </w:t>
      </w:r>
      <w:r w:rsidR="00194B21" w:rsidRPr="00465CA3">
        <w:rPr>
          <w:rFonts w:ascii="Times New Roman" w:hAnsi="Times New Roman"/>
          <w:i/>
          <w:iCs/>
          <w:sz w:val="15"/>
          <w:szCs w:val="15"/>
          <w:lang w:val="de-DE"/>
        </w:rPr>
        <w:t>Schneider</w:t>
      </w:r>
      <w:r w:rsidR="00194B21">
        <w:rPr>
          <w:rFonts w:ascii="Times New Roman" w:hAnsi="Times New Roman"/>
          <w:sz w:val="15"/>
          <w:szCs w:val="15"/>
          <w:lang w:val="de-DE"/>
        </w:rPr>
        <w:t xml:space="preserve">, Voraussetzungen und Folgen einer rechtsstaatswidrigen Tatprovokation, NStZ 2023, 325; </w:t>
      </w:r>
      <w:r w:rsidR="00D27184" w:rsidRPr="00DC35C0">
        <w:rPr>
          <w:rFonts w:ascii="Times New Roman" w:hAnsi="Times New Roman"/>
          <w:i/>
          <w:sz w:val="15"/>
          <w:szCs w:val="15"/>
          <w:lang w:val="de-DE"/>
        </w:rPr>
        <w:t>Sinn/Maly</w:t>
      </w:r>
      <w:r w:rsidR="00D27184" w:rsidRPr="00DC35C0">
        <w:rPr>
          <w:rFonts w:ascii="Times New Roman" w:hAnsi="Times New Roman"/>
          <w:sz w:val="15"/>
          <w:szCs w:val="15"/>
          <w:lang w:val="de-DE"/>
        </w:rPr>
        <w:t>, Zu den strafprozessualen Folgen einer rechtsstaatswidrigen Tatprovokation, NStZ 2015, 379</w:t>
      </w:r>
      <w:r w:rsidR="00AC4AC3">
        <w:rPr>
          <w:rFonts w:ascii="Times New Roman" w:hAnsi="Times New Roman"/>
          <w:sz w:val="15"/>
          <w:szCs w:val="15"/>
          <w:lang w:val="de-DE"/>
        </w:rPr>
        <w:t>.</w:t>
      </w:r>
    </w:p>
    <w:p w14:paraId="4D9A15A1" w14:textId="49A3D7C8" w:rsidR="008109C2" w:rsidRPr="00DC35C0" w:rsidRDefault="007A152F" w:rsidP="006C67DB">
      <w:pPr>
        <w:tabs>
          <w:tab w:val="left" w:pos="2119"/>
        </w:tabs>
        <w:spacing w:before="3" w:line="218" w:lineRule="auto"/>
        <w:ind w:left="2120" w:right="142" w:hanging="1985"/>
        <w:jc w:val="both"/>
        <w:rPr>
          <w:rFonts w:ascii="Times New Roman" w:eastAsia="Times New Roman" w:hAnsi="Times New Roman"/>
          <w:sz w:val="15"/>
          <w:szCs w:val="15"/>
          <w:lang w:val="de-DE"/>
        </w:rPr>
      </w:pPr>
      <w:r w:rsidRPr="00DC35C0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>Rechtsprechung:</w:t>
      </w:r>
      <w:r w:rsidRPr="00DC35C0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ab/>
      </w:r>
      <w:r w:rsidR="00C5491C" w:rsidRPr="00DC35C0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EGMR NJW 2012, 3502</w:t>
      </w:r>
      <w:r w:rsidR="00C5491C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</w:t>
      </w:r>
      <w:r w:rsidR="00D77194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</w:t>
      </w:r>
      <w:r w:rsidR="00C5491C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Lockspitzel (Möglichkeit der Verletzung des Rechtes auf faires Verfahren); </w:t>
      </w:r>
      <w:r w:rsidR="00C5491C" w:rsidRPr="00DC35C0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EGMR NStZ 2015, 412</w:t>
      </w:r>
      <w:r w:rsidR="00C5491C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</w:t>
      </w:r>
      <w:r w:rsidR="00C10242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</w:t>
      </w:r>
      <w:r w:rsidR="006A4F74" w:rsidRPr="00DC35C0">
        <w:rPr>
          <w:rFonts w:ascii="Times New Roman" w:hAnsi="Times New Roman"/>
          <w:spacing w:val="-2"/>
          <w:sz w:val="15"/>
          <w:szCs w:val="15"/>
          <w:lang w:val="de-DE"/>
        </w:rPr>
        <w:t xml:space="preserve">Furcht </w:t>
      </w:r>
      <w:r w:rsidR="00806061" w:rsidRPr="00DC35C0">
        <w:rPr>
          <w:rFonts w:ascii="Times New Roman" w:hAnsi="Times New Roman"/>
          <w:spacing w:val="-2"/>
          <w:sz w:val="15"/>
          <w:szCs w:val="15"/>
          <w:lang w:val="de-DE"/>
        </w:rPr>
        <w:t>(Beweisverwertungsverbot wegen unzulässiger Tatprovokation)</w:t>
      </w:r>
      <w:r w:rsidR="00C5491C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; </w:t>
      </w:r>
      <w:r w:rsidR="006A4F74" w:rsidRPr="00DC35C0">
        <w:rPr>
          <w:rFonts w:ascii="Times New Roman" w:hAnsi="Times New Roman"/>
          <w:b/>
          <w:spacing w:val="-3"/>
          <w:sz w:val="15"/>
          <w:szCs w:val="15"/>
          <w:lang w:val="de-DE"/>
        </w:rPr>
        <w:t>EGMR NJW 2021, 3515</w:t>
      </w:r>
      <w:r w:rsidR="006A4F74" w:rsidRPr="00DC35C0">
        <w:rPr>
          <w:rFonts w:ascii="Times New Roman" w:hAnsi="Times New Roman"/>
          <w:spacing w:val="-3"/>
          <w:sz w:val="15"/>
          <w:szCs w:val="15"/>
          <w:lang w:val="de-DE"/>
        </w:rPr>
        <w:t xml:space="preserve"> – Akbay (Verstoß gegen Fair-trial-Prinzip bei Tatprovokation);</w:t>
      </w:r>
      <w:r w:rsidR="006A4F74" w:rsidRPr="00DC35C0">
        <w:rPr>
          <w:spacing w:val="-3"/>
          <w:lang w:val="de-DE"/>
        </w:rPr>
        <w:t xml:space="preserve"> </w:t>
      </w:r>
      <w:r w:rsidR="006A2E3B" w:rsidRPr="00DC35C0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 xml:space="preserve">BVerfG NJW 2002, 51 </w:t>
      </w:r>
      <w:r w:rsidR="006A2E3B" w:rsidRPr="00DC35C0">
        <w:rPr>
          <w:rFonts w:ascii="Times New Roman" w:eastAsia="Times New Roman" w:hAnsi="Times New Roman"/>
          <w:bCs/>
          <w:spacing w:val="-3"/>
          <w:sz w:val="15"/>
          <w:szCs w:val="15"/>
          <w:lang w:val="de-DE"/>
        </w:rPr>
        <w:t xml:space="preserve">– Lebensgefährdung (Einstellung des Strafverfahrens </w:t>
      </w:r>
      <w:r w:rsidR="00C10242" w:rsidRPr="00DC35C0">
        <w:rPr>
          <w:rFonts w:ascii="Times New Roman" w:eastAsia="Times New Roman" w:hAnsi="Times New Roman"/>
          <w:bCs/>
          <w:spacing w:val="-3"/>
          <w:sz w:val="15"/>
          <w:szCs w:val="15"/>
          <w:lang w:val="de-DE"/>
        </w:rPr>
        <w:t>bei</w:t>
      </w:r>
      <w:r w:rsidR="006A2E3B" w:rsidRPr="00DC35C0">
        <w:rPr>
          <w:rFonts w:ascii="Times New Roman" w:eastAsia="Times New Roman" w:hAnsi="Times New Roman"/>
          <w:bCs/>
          <w:spacing w:val="-3"/>
          <w:sz w:val="15"/>
          <w:szCs w:val="15"/>
          <w:lang w:val="de-DE"/>
        </w:rPr>
        <w:t xml:space="preserve"> Lebensgefährdung des Angeklagten);</w:t>
      </w:r>
      <w:r w:rsidR="006A2E3B" w:rsidRPr="00DC35C0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 xml:space="preserve"> </w:t>
      </w:r>
      <w:r w:rsidR="00C5491C" w:rsidRPr="00DC35C0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BVerfG NJW 2015, 1083</w:t>
      </w:r>
      <w:r w:rsidR="00C5491C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</w:t>
      </w:r>
      <w:r w:rsidR="00C10242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</w:t>
      </w:r>
      <w:r w:rsidR="00C5491C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Tatprovokation (Verfahrenseinstellung nur in extremen Ausnahmefällen); </w:t>
      </w:r>
      <w:r w:rsidRPr="00DC35C0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>BGHSt</w:t>
      </w:r>
      <w:r w:rsidRPr="00DC35C0">
        <w:rPr>
          <w:rFonts w:ascii="Times New Roman" w:eastAsia="Times New Roman" w:hAnsi="Times New Roman"/>
          <w:b/>
          <w:bCs/>
          <w:spacing w:val="18"/>
          <w:sz w:val="15"/>
          <w:szCs w:val="15"/>
          <w:lang w:val="de-DE"/>
        </w:rPr>
        <w:t xml:space="preserve"> </w:t>
      </w:r>
      <w:r w:rsidRPr="00DC35C0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>18,</w:t>
      </w:r>
      <w:r w:rsidRPr="00DC35C0">
        <w:rPr>
          <w:rFonts w:ascii="Times New Roman" w:eastAsia="Times New Roman" w:hAnsi="Times New Roman"/>
          <w:b/>
          <w:bCs/>
          <w:spacing w:val="18"/>
          <w:sz w:val="15"/>
          <w:szCs w:val="15"/>
          <w:lang w:val="de-DE"/>
        </w:rPr>
        <w:t xml:space="preserve"> </w:t>
      </w:r>
      <w:r w:rsidRPr="00DC35C0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>274</w:t>
      </w:r>
      <w:r w:rsidRPr="00DC35C0">
        <w:rPr>
          <w:rFonts w:ascii="Times New Roman" w:eastAsia="Times New Roman" w:hAnsi="Times New Roman"/>
          <w:b/>
          <w:bCs/>
          <w:spacing w:val="18"/>
          <w:sz w:val="15"/>
          <w:szCs w:val="15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5"/>
          <w:szCs w:val="15"/>
          <w:lang w:val="de-DE"/>
        </w:rPr>
        <w:t>–</w:t>
      </w:r>
      <w:r w:rsidRPr="00DC35C0">
        <w:rPr>
          <w:rFonts w:ascii="Times New Roman" w:eastAsia="Times New Roman" w:hAnsi="Times New Roman"/>
          <w:spacing w:val="18"/>
          <w:sz w:val="15"/>
          <w:szCs w:val="15"/>
          <w:lang w:val="de-DE"/>
        </w:rPr>
        <w:t xml:space="preserve"> </w:t>
      </w:r>
      <w:r w:rsidR="00806061" w:rsidRPr="00DC35C0">
        <w:rPr>
          <w:rFonts w:ascii="Times New Roman" w:hAnsi="Times New Roman"/>
          <w:spacing w:val="-2"/>
          <w:sz w:val="15"/>
          <w:szCs w:val="15"/>
          <w:lang w:val="de-DE"/>
        </w:rPr>
        <w:t>Tatzeitpunkt („In dubio pro reo“ bei Fragen der Verjährung)</w:t>
      </w:r>
      <w:r w:rsidRPr="00DC35C0">
        <w:rPr>
          <w:rFonts w:ascii="Times New Roman" w:eastAsia="Times New Roman" w:hAnsi="Times New Roman"/>
          <w:sz w:val="15"/>
          <w:szCs w:val="15"/>
          <w:lang w:val="de-DE"/>
        </w:rPr>
        <w:t>;</w:t>
      </w:r>
      <w:r w:rsidR="00D9501F" w:rsidRPr="00DC35C0">
        <w:rPr>
          <w:rFonts w:ascii="Times New Roman" w:eastAsia="Times New Roman" w:hAnsi="Times New Roman"/>
          <w:sz w:val="15"/>
          <w:szCs w:val="15"/>
          <w:lang w:val="de-DE"/>
        </w:rPr>
        <w:t xml:space="preserve"> </w:t>
      </w:r>
      <w:r w:rsidR="00CD3D68" w:rsidRPr="00DC35C0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 xml:space="preserve">BGHSt 24, 239 </w:t>
      </w:r>
      <w:r w:rsidR="00CD3D68" w:rsidRPr="00DC35C0">
        <w:rPr>
          <w:rFonts w:ascii="Times New Roman" w:eastAsia="Times New Roman" w:hAnsi="Times New Roman"/>
          <w:bCs/>
          <w:sz w:val="15"/>
          <w:szCs w:val="15"/>
          <w:lang w:val="de-DE"/>
        </w:rPr>
        <w:t>– Verfahrensdauer I (Strafzumessung</w:t>
      </w:r>
      <w:r w:rsidR="00C10242" w:rsidRPr="00DC35C0">
        <w:rPr>
          <w:rFonts w:ascii="Times New Roman" w:eastAsia="Times New Roman" w:hAnsi="Times New Roman"/>
          <w:bCs/>
          <w:sz w:val="15"/>
          <w:szCs w:val="15"/>
          <w:lang w:val="de-DE"/>
        </w:rPr>
        <w:t>slösung</w:t>
      </w:r>
      <w:r w:rsidR="00CD3D68" w:rsidRPr="00DC35C0">
        <w:rPr>
          <w:rFonts w:ascii="Times New Roman" w:eastAsia="Times New Roman" w:hAnsi="Times New Roman"/>
          <w:bCs/>
          <w:sz w:val="15"/>
          <w:szCs w:val="15"/>
          <w:lang w:val="de-DE"/>
        </w:rPr>
        <w:t xml:space="preserve">); </w:t>
      </w:r>
      <w:r w:rsidR="00D667B6" w:rsidRPr="00DC35C0">
        <w:rPr>
          <w:rFonts w:ascii="Times New Roman" w:eastAsia="Times New Roman" w:hAnsi="Times New Roman"/>
          <w:b/>
          <w:sz w:val="15"/>
          <w:szCs w:val="15"/>
          <w:lang w:val="de-DE"/>
        </w:rPr>
        <w:t>BGHSt 29</w:t>
      </w:r>
      <w:r w:rsidRPr="00DC35C0">
        <w:rPr>
          <w:rFonts w:ascii="Times New Roman" w:eastAsia="Times New Roman" w:hAnsi="Times New Roman"/>
          <w:b/>
          <w:sz w:val="15"/>
          <w:szCs w:val="15"/>
          <w:lang w:val="de-DE"/>
        </w:rPr>
        <w:t>,</w:t>
      </w:r>
      <w:r w:rsidR="00D667B6" w:rsidRPr="00DC35C0">
        <w:rPr>
          <w:rFonts w:ascii="Times New Roman" w:eastAsia="Times New Roman" w:hAnsi="Times New Roman"/>
          <w:b/>
          <w:sz w:val="15"/>
          <w:szCs w:val="15"/>
          <w:lang w:val="de-DE"/>
        </w:rPr>
        <w:t xml:space="preserve"> 224</w:t>
      </w:r>
      <w:r w:rsidR="00D667B6" w:rsidRPr="00DC35C0">
        <w:rPr>
          <w:rFonts w:ascii="Times New Roman" w:eastAsia="Times New Roman" w:hAnsi="Times New Roman"/>
          <w:sz w:val="15"/>
          <w:szCs w:val="15"/>
          <w:lang w:val="de-DE"/>
        </w:rPr>
        <w:t xml:space="preserve"> – Eröff</w:t>
      </w:r>
      <w:r w:rsidR="0056449D" w:rsidRPr="00DC35C0">
        <w:rPr>
          <w:rFonts w:ascii="Times New Roman" w:eastAsia="Times New Roman" w:hAnsi="Times New Roman"/>
          <w:sz w:val="15"/>
          <w:szCs w:val="15"/>
          <w:lang w:val="de-DE"/>
        </w:rPr>
        <w:t>n</w:t>
      </w:r>
      <w:r w:rsidR="00D667B6" w:rsidRPr="00DC35C0">
        <w:rPr>
          <w:rFonts w:ascii="Times New Roman" w:eastAsia="Times New Roman" w:hAnsi="Times New Roman"/>
          <w:sz w:val="15"/>
          <w:szCs w:val="15"/>
          <w:lang w:val="de-DE"/>
        </w:rPr>
        <w:t>ungsbeschluss</w:t>
      </w:r>
      <w:r w:rsidR="00623FC6" w:rsidRPr="00DC35C0">
        <w:rPr>
          <w:rFonts w:ascii="Times New Roman" w:eastAsia="Times New Roman" w:hAnsi="Times New Roman"/>
          <w:sz w:val="15"/>
          <w:szCs w:val="15"/>
          <w:lang w:val="de-DE"/>
        </w:rPr>
        <w:t xml:space="preserve"> II</w:t>
      </w:r>
      <w:r w:rsidR="00D667B6" w:rsidRPr="00DC35C0">
        <w:rPr>
          <w:rFonts w:ascii="Times New Roman" w:eastAsia="Times New Roman" w:hAnsi="Times New Roman"/>
          <w:sz w:val="15"/>
          <w:szCs w:val="15"/>
          <w:lang w:val="de-DE"/>
        </w:rPr>
        <w:t xml:space="preserve"> (Nachholung des Eröffnungsbeschlusses bis zu Vernehmung des Angeklagten möglich); </w:t>
      </w:r>
      <w:r w:rsidRPr="00DC35C0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>BGHSt</w:t>
      </w:r>
      <w:r w:rsidRPr="00DC35C0">
        <w:rPr>
          <w:rFonts w:ascii="Times New Roman" w:eastAsia="Times New Roman" w:hAnsi="Times New Roman"/>
          <w:b/>
          <w:bCs/>
          <w:spacing w:val="15"/>
          <w:sz w:val="15"/>
          <w:szCs w:val="15"/>
          <w:lang w:val="de-DE"/>
        </w:rPr>
        <w:t xml:space="preserve"> </w:t>
      </w:r>
      <w:r w:rsidRPr="00DC35C0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>32,</w:t>
      </w:r>
      <w:r w:rsidRPr="00DC35C0">
        <w:rPr>
          <w:rFonts w:ascii="Times New Roman" w:eastAsia="Times New Roman" w:hAnsi="Times New Roman"/>
          <w:b/>
          <w:bCs/>
          <w:spacing w:val="15"/>
          <w:sz w:val="15"/>
          <w:szCs w:val="15"/>
          <w:lang w:val="de-DE"/>
        </w:rPr>
        <w:t xml:space="preserve"> </w:t>
      </w:r>
      <w:r w:rsidRPr="00DC35C0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>345</w:t>
      </w:r>
      <w:r w:rsidRPr="00DC35C0">
        <w:rPr>
          <w:rFonts w:ascii="Times New Roman" w:eastAsia="Times New Roman" w:hAnsi="Times New Roman"/>
          <w:b/>
          <w:bCs/>
          <w:spacing w:val="16"/>
          <w:sz w:val="15"/>
          <w:szCs w:val="15"/>
          <w:lang w:val="de-DE"/>
        </w:rPr>
        <w:t xml:space="preserve"> </w:t>
      </w:r>
      <w:r w:rsidRPr="00DC35C0">
        <w:rPr>
          <w:rFonts w:ascii="Times New Roman" w:eastAsia="Times New Roman" w:hAnsi="Times New Roman"/>
          <w:sz w:val="15"/>
          <w:szCs w:val="15"/>
          <w:lang w:val="de-DE"/>
        </w:rPr>
        <w:t xml:space="preserve">– </w:t>
      </w:r>
      <w:r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Lockspitzel (Tatprovokation </w:t>
      </w:r>
      <w:r w:rsidRPr="00DC35C0">
        <w:rPr>
          <w:rFonts w:ascii="Times New Roman" w:eastAsia="Times New Roman" w:hAnsi="Times New Roman"/>
          <w:sz w:val="15"/>
          <w:szCs w:val="15"/>
          <w:lang w:val="de-DE"/>
        </w:rPr>
        <w:t xml:space="preserve">kein </w:t>
      </w:r>
      <w:r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Prozesshindernis, </w:t>
      </w:r>
      <w:r w:rsidR="00C10242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sondern</w:t>
      </w:r>
      <w:r w:rsidRPr="00DC35C0">
        <w:rPr>
          <w:rFonts w:ascii="Times New Roman" w:eastAsia="Times New Roman" w:hAnsi="Times New Roman"/>
          <w:spacing w:val="-2"/>
          <w:sz w:val="15"/>
          <w:szCs w:val="15"/>
          <w:lang w:val="de-DE"/>
        </w:rPr>
        <w:t xml:space="preserve"> </w:t>
      </w:r>
      <w:r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Strafmilderungsgrund); </w:t>
      </w:r>
      <w:r w:rsidR="006A2E3B" w:rsidRPr="00DC35C0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BGHSt 45, 108</w:t>
      </w:r>
      <w:r w:rsidR="006A2E3B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Tod des Angeklagten (Verfahrenseinstellung bei Tod des Angeklagten); </w:t>
      </w:r>
      <w:r w:rsidR="006A2E3B" w:rsidRPr="00DC35C0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BGHSt 52, 124</w:t>
      </w:r>
      <w:r w:rsidR="006A2E3B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Verfahrensdauer (Strafvollstreckung</w:t>
      </w:r>
      <w:r w:rsidR="00C10242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slösung</w:t>
      </w:r>
      <w:r w:rsidR="006A2E3B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); </w:t>
      </w:r>
      <w:r w:rsidR="00CD3D68" w:rsidRPr="00DC35C0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>BGHSt 57, 1</w:t>
      </w:r>
      <w:r w:rsidR="00CD3D68" w:rsidRPr="00DC35C0">
        <w:rPr>
          <w:rFonts w:ascii="Times New Roman" w:eastAsia="Times New Roman" w:hAnsi="Times New Roman"/>
          <w:bCs/>
          <w:spacing w:val="-3"/>
          <w:sz w:val="15"/>
          <w:szCs w:val="15"/>
          <w:lang w:val="de-DE"/>
        </w:rPr>
        <w:t xml:space="preserve"> – Schlägerei (Verfahrensverzögerung im Ausland); </w:t>
      </w:r>
      <w:r w:rsidR="00C10242" w:rsidRPr="00DC35C0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 xml:space="preserve">BGHSt 60, 276 </w:t>
      </w:r>
      <w:r w:rsidR="00C10242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–Tatprovokation (rechtsstaatswidrige Tatprovokation als Verfahrenshindernis)</w:t>
      </w:r>
      <w:r w:rsidR="00064111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;</w:t>
      </w:r>
      <w:r w:rsidR="00C10242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</w:t>
      </w:r>
      <w:r w:rsidR="00940D96" w:rsidRPr="00DC35C0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 NStZ 2015, 541</w:t>
      </w:r>
      <w:r w:rsidR="00940D96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Tatprovokation (kein Verfahrenshindernis);</w:t>
      </w:r>
      <w:r w:rsidR="00DC4B13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</w:t>
      </w:r>
      <w:r w:rsidR="00B545D5" w:rsidRPr="00DC35C0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 NStZ 2016, 232</w:t>
      </w:r>
      <w:r w:rsidR="00B545D5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Rechtsstaatswidrige Tatprovokation (</w:t>
      </w:r>
      <w:r w:rsidR="005D5083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„unvertretbar übergewichtige“ Einwirkung im Verhältnis zum Anfangsverdacht); </w:t>
      </w:r>
      <w:r w:rsidR="003F190D" w:rsidRPr="00DC35C0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 NStZ 2018, 355</w:t>
      </w:r>
      <w:r w:rsidR="003F190D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Voraussetzungen der polizeilichen Tatprovokation (stimulierende Einwirkung von einiger Erheblichkeit, Gesamtabwägung)</w:t>
      </w:r>
      <w:r w:rsidR="000F651F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; </w:t>
      </w:r>
      <w:r w:rsidR="000F651F" w:rsidRPr="00DC35C0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 xml:space="preserve">BGH </w:t>
      </w:r>
      <w:r w:rsidR="00DA1566" w:rsidRPr="00DC35C0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NStZ 2023, 243</w:t>
      </w:r>
      <w:r w:rsidR="000F651F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rechtsstaatswidrige Tatprovokation </w:t>
      </w:r>
      <w:r w:rsidR="00DA1566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(bei</w:t>
      </w:r>
      <w:r w:rsidR="00CD326B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</w:t>
      </w:r>
      <w:r w:rsidR="000F651F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Taten mit höherem Unrechtsgehalt</w:t>
      </w:r>
      <w:r w:rsidR="00DA1566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; Verfahrenshindernis als Rechtsfolge)</w:t>
      </w:r>
      <w:r w:rsidR="000F651F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, vgl. </w:t>
      </w:r>
      <w:r w:rsidR="000F651F" w:rsidRPr="00DC35C0">
        <w:rPr>
          <w:rFonts w:ascii="Times New Roman" w:eastAsia="Times New Roman" w:hAnsi="Times New Roman"/>
          <w:i/>
          <w:spacing w:val="-3"/>
          <w:sz w:val="15"/>
          <w:szCs w:val="15"/>
          <w:lang w:val="de-DE"/>
        </w:rPr>
        <w:t>Arndt/</w:t>
      </w:r>
      <w:proofErr w:type="spellStart"/>
      <w:r w:rsidR="000F651F" w:rsidRPr="00DC35C0">
        <w:rPr>
          <w:rFonts w:ascii="Times New Roman" w:eastAsia="Times New Roman" w:hAnsi="Times New Roman"/>
          <w:i/>
          <w:spacing w:val="-3"/>
          <w:sz w:val="15"/>
          <w:szCs w:val="15"/>
          <w:lang w:val="de-DE"/>
        </w:rPr>
        <w:t>Laterveer</w:t>
      </w:r>
      <w:proofErr w:type="spellEnd"/>
      <w:r w:rsidR="000F651F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, famos 04/2022</w:t>
      </w:r>
      <w:r w:rsidR="00152946" w:rsidRPr="00DC35C0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.</w:t>
      </w:r>
    </w:p>
    <w:sectPr w:rsidR="008109C2" w:rsidRPr="00DC35C0">
      <w:type w:val="continuous"/>
      <w:pgSz w:w="11910" w:h="16840"/>
      <w:pgMar w:top="500" w:right="4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D8C2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B651A4"/>
    <w:multiLevelType w:val="hybridMultilevel"/>
    <w:tmpl w:val="562AF1E2"/>
    <w:lvl w:ilvl="0" w:tplc="EA683D74">
      <w:start w:val="1"/>
      <w:numFmt w:val="upperRoman"/>
      <w:lvlText w:val="%1."/>
      <w:lvlJc w:val="left"/>
      <w:pPr>
        <w:ind w:left="418" w:hanging="284"/>
      </w:pPr>
      <w:rPr>
        <w:rFonts w:ascii="Times New Roman" w:eastAsia="Times New Roman" w:hAnsi="Times New Roman" w:hint="default"/>
        <w:b/>
        <w:bCs/>
        <w:spacing w:val="-2"/>
        <w:w w:val="99"/>
        <w:sz w:val="16"/>
        <w:szCs w:val="16"/>
      </w:rPr>
    </w:lvl>
    <w:lvl w:ilvl="1" w:tplc="350C644A">
      <w:start w:val="1"/>
      <w:numFmt w:val="decimal"/>
      <w:lvlText w:val="%2."/>
      <w:lvlJc w:val="left"/>
      <w:pPr>
        <w:ind w:left="701" w:hanging="293"/>
      </w:pPr>
      <w:rPr>
        <w:rFonts w:hint="default"/>
        <w:spacing w:val="-2"/>
        <w:w w:val="99"/>
        <w:u w:val="single" w:color="000000"/>
      </w:rPr>
    </w:lvl>
    <w:lvl w:ilvl="2" w:tplc="066C98FC">
      <w:start w:val="1"/>
      <w:numFmt w:val="bullet"/>
      <w:lvlText w:val="•"/>
      <w:lvlJc w:val="left"/>
      <w:pPr>
        <w:ind w:left="1787" w:hanging="293"/>
      </w:pPr>
      <w:rPr>
        <w:rFonts w:hint="default"/>
      </w:rPr>
    </w:lvl>
    <w:lvl w:ilvl="3" w:tplc="647A081C">
      <w:start w:val="1"/>
      <w:numFmt w:val="bullet"/>
      <w:lvlText w:val="•"/>
      <w:lvlJc w:val="left"/>
      <w:pPr>
        <w:ind w:left="2874" w:hanging="293"/>
      </w:pPr>
      <w:rPr>
        <w:rFonts w:hint="default"/>
      </w:rPr>
    </w:lvl>
    <w:lvl w:ilvl="4" w:tplc="70726306">
      <w:start w:val="1"/>
      <w:numFmt w:val="bullet"/>
      <w:lvlText w:val="•"/>
      <w:lvlJc w:val="left"/>
      <w:pPr>
        <w:ind w:left="3962" w:hanging="293"/>
      </w:pPr>
      <w:rPr>
        <w:rFonts w:hint="default"/>
      </w:rPr>
    </w:lvl>
    <w:lvl w:ilvl="5" w:tplc="4DA2B640">
      <w:start w:val="1"/>
      <w:numFmt w:val="bullet"/>
      <w:lvlText w:val="•"/>
      <w:lvlJc w:val="left"/>
      <w:pPr>
        <w:ind w:left="5049" w:hanging="293"/>
      </w:pPr>
      <w:rPr>
        <w:rFonts w:hint="default"/>
      </w:rPr>
    </w:lvl>
    <w:lvl w:ilvl="6" w:tplc="64BE4B48">
      <w:start w:val="1"/>
      <w:numFmt w:val="bullet"/>
      <w:lvlText w:val="•"/>
      <w:lvlJc w:val="left"/>
      <w:pPr>
        <w:ind w:left="6136" w:hanging="293"/>
      </w:pPr>
      <w:rPr>
        <w:rFonts w:hint="default"/>
      </w:rPr>
    </w:lvl>
    <w:lvl w:ilvl="7" w:tplc="9398BE4C">
      <w:start w:val="1"/>
      <w:numFmt w:val="bullet"/>
      <w:lvlText w:val="•"/>
      <w:lvlJc w:val="left"/>
      <w:pPr>
        <w:ind w:left="7224" w:hanging="293"/>
      </w:pPr>
      <w:rPr>
        <w:rFonts w:hint="default"/>
      </w:rPr>
    </w:lvl>
    <w:lvl w:ilvl="8" w:tplc="E07A475A">
      <w:start w:val="1"/>
      <w:numFmt w:val="bullet"/>
      <w:lvlText w:val="•"/>
      <w:lvlJc w:val="left"/>
      <w:pPr>
        <w:ind w:left="8311" w:hanging="293"/>
      </w:pPr>
      <w:rPr>
        <w:rFonts w:hint="default"/>
      </w:rPr>
    </w:lvl>
  </w:abstractNum>
  <w:abstractNum w:abstractNumId="2" w15:restartNumberingAfterBreak="0">
    <w:nsid w:val="5E8F6DF4"/>
    <w:multiLevelType w:val="hybridMultilevel"/>
    <w:tmpl w:val="F8B4A4F0"/>
    <w:lvl w:ilvl="0" w:tplc="F55458A8">
      <w:start w:val="5"/>
      <w:numFmt w:val="decimal"/>
      <w:lvlText w:val="%1."/>
      <w:lvlJc w:val="left"/>
      <w:pPr>
        <w:ind w:left="701" w:hanging="284"/>
      </w:pPr>
      <w:rPr>
        <w:rFonts w:hint="default"/>
        <w:spacing w:val="-2"/>
        <w:w w:val="99"/>
        <w:u w:val="single" w:color="000000"/>
      </w:rPr>
    </w:lvl>
    <w:lvl w:ilvl="1" w:tplc="B1D6F4AE">
      <w:start w:val="1"/>
      <w:numFmt w:val="bullet"/>
      <w:lvlText w:val="•"/>
      <w:lvlJc w:val="left"/>
      <w:pPr>
        <w:ind w:left="1678" w:hanging="284"/>
      </w:pPr>
      <w:rPr>
        <w:rFonts w:hint="default"/>
      </w:rPr>
    </w:lvl>
    <w:lvl w:ilvl="2" w:tplc="55B6B1F8">
      <w:start w:val="1"/>
      <w:numFmt w:val="bullet"/>
      <w:lvlText w:val="•"/>
      <w:lvlJc w:val="left"/>
      <w:pPr>
        <w:ind w:left="2657" w:hanging="284"/>
      </w:pPr>
      <w:rPr>
        <w:rFonts w:hint="default"/>
      </w:rPr>
    </w:lvl>
    <w:lvl w:ilvl="3" w:tplc="F876759A">
      <w:start w:val="1"/>
      <w:numFmt w:val="bullet"/>
      <w:lvlText w:val="•"/>
      <w:lvlJc w:val="left"/>
      <w:pPr>
        <w:ind w:left="3635" w:hanging="284"/>
      </w:pPr>
      <w:rPr>
        <w:rFonts w:hint="default"/>
      </w:rPr>
    </w:lvl>
    <w:lvl w:ilvl="4" w:tplc="F41A39FA">
      <w:start w:val="1"/>
      <w:numFmt w:val="bullet"/>
      <w:lvlText w:val="•"/>
      <w:lvlJc w:val="left"/>
      <w:pPr>
        <w:ind w:left="4614" w:hanging="284"/>
      </w:pPr>
      <w:rPr>
        <w:rFonts w:hint="default"/>
      </w:rPr>
    </w:lvl>
    <w:lvl w:ilvl="5" w:tplc="755A920E">
      <w:start w:val="1"/>
      <w:numFmt w:val="bullet"/>
      <w:lvlText w:val="•"/>
      <w:lvlJc w:val="left"/>
      <w:pPr>
        <w:ind w:left="5593" w:hanging="284"/>
      </w:pPr>
      <w:rPr>
        <w:rFonts w:hint="default"/>
      </w:rPr>
    </w:lvl>
    <w:lvl w:ilvl="6" w:tplc="A17486AC">
      <w:start w:val="1"/>
      <w:numFmt w:val="bullet"/>
      <w:lvlText w:val="•"/>
      <w:lvlJc w:val="left"/>
      <w:pPr>
        <w:ind w:left="6571" w:hanging="284"/>
      </w:pPr>
      <w:rPr>
        <w:rFonts w:hint="default"/>
      </w:rPr>
    </w:lvl>
    <w:lvl w:ilvl="7" w:tplc="127EE8C8">
      <w:start w:val="1"/>
      <w:numFmt w:val="bullet"/>
      <w:lvlText w:val="•"/>
      <w:lvlJc w:val="left"/>
      <w:pPr>
        <w:ind w:left="7550" w:hanging="284"/>
      </w:pPr>
      <w:rPr>
        <w:rFonts w:hint="default"/>
      </w:rPr>
    </w:lvl>
    <w:lvl w:ilvl="8" w:tplc="FF4EFF02">
      <w:start w:val="1"/>
      <w:numFmt w:val="bullet"/>
      <w:lvlText w:val="•"/>
      <w:lvlJc w:val="left"/>
      <w:pPr>
        <w:ind w:left="8529" w:hanging="284"/>
      </w:pPr>
      <w:rPr>
        <w:rFonts w:hint="default"/>
      </w:rPr>
    </w:lvl>
  </w:abstractNum>
  <w:num w:numId="1" w16cid:durableId="473761720">
    <w:abstractNumId w:val="2"/>
  </w:num>
  <w:num w:numId="2" w16cid:durableId="754863517">
    <w:abstractNumId w:val="1"/>
  </w:num>
  <w:num w:numId="3" w16cid:durableId="122313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C2"/>
    <w:rsid w:val="0001086D"/>
    <w:rsid w:val="00064111"/>
    <w:rsid w:val="00093494"/>
    <w:rsid w:val="000F651F"/>
    <w:rsid w:val="00133CA1"/>
    <w:rsid w:val="001374DF"/>
    <w:rsid w:val="00152946"/>
    <w:rsid w:val="00176D8A"/>
    <w:rsid w:val="0018519E"/>
    <w:rsid w:val="0019398B"/>
    <w:rsid w:val="00194B21"/>
    <w:rsid w:val="001D6C80"/>
    <w:rsid w:val="001E24D7"/>
    <w:rsid w:val="001E599B"/>
    <w:rsid w:val="00222594"/>
    <w:rsid w:val="002819F9"/>
    <w:rsid w:val="00292C6D"/>
    <w:rsid w:val="002936E7"/>
    <w:rsid w:val="00294591"/>
    <w:rsid w:val="002A305F"/>
    <w:rsid w:val="002A36D0"/>
    <w:rsid w:val="002C0309"/>
    <w:rsid w:val="002C0352"/>
    <w:rsid w:val="002C107F"/>
    <w:rsid w:val="002C3B1E"/>
    <w:rsid w:val="002C676C"/>
    <w:rsid w:val="00310ED6"/>
    <w:rsid w:val="003304B9"/>
    <w:rsid w:val="00340BF1"/>
    <w:rsid w:val="00344474"/>
    <w:rsid w:val="0035421B"/>
    <w:rsid w:val="003D2E99"/>
    <w:rsid w:val="003E58EA"/>
    <w:rsid w:val="003F190D"/>
    <w:rsid w:val="00423CCD"/>
    <w:rsid w:val="00460F30"/>
    <w:rsid w:val="00461271"/>
    <w:rsid w:val="00472891"/>
    <w:rsid w:val="004B28B7"/>
    <w:rsid w:val="00541EBB"/>
    <w:rsid w:val="0056449D"/>
    <w:rsid w:val="0059275C"/>
    <w:rsid w:val="005D5083"/>
    <w:rsid w:val="00602210"/>
    <w:rsid w:val="00623FC6"/>
    <w:rsid w:val="0066369D"/>
    <w:rsid w:val="006800E1"/>
    <w:rsid w:val="006869F1"/>
    <w:rsid w:val="006A1A7C"/>
    <w:rsid w:val="006A2E3B"/>
    <w:rsid w:val="006A4F74"/>
    <w:rsid w:val="006C3070"/>
    <w:rsid w:val="006C67DB"/>
    <w:rsid w:val="006F6EA0"/>
    <w:rsid w:val="00717B42"/>
    <w:rsid w:val="00763C1F"/>
    <w:rsid w:val="00770377"/>
    <w:rsid w:val="007A152F"/>
    <w:rsid w:val="007E3227"/>
    <w:rsid w:val="00806061"/>
    <w:rsid w:val="008109C2"/>
    <w:rsid w:val="0085337E"/>
    <w:rsid w:val="00862EC1"/>
    <w:rsid w:val="008826C2"/>
    <w:rsid w:val="008F5316"/>
    <w:rsid w:val="0091081E"/>
    <w:rsid w:val="00917D01"/>
    <w:rsid w:val="00917F12"/>
    <w:rsid w:val="009234A3"/>
    <w:rsid w:val="009355F5"/>
    <w:rsid w:val="009367FD"/>
    <w:rsid w:val="00940D96"/>
    <w:rsid w:val="00994DE4"/>
    <w:rsid w:val="009C07E6"/>
    <w:rsid w:val="009D243E"/>
    <w:rsid w:val="009E4534"/>
    <w:rsid w:val="00A16301"/>
    <w:rsid w:val="00A65C2C"/>
    <w:rsid w:val="00A95DEB"/>
    <w:rsid w:val="00AC4AC3"/>
    <w:rsid w:val="00AF02AA"/>
    <w:rsid w:val="00B1609E"/>
    <w:rsid w:val="00B254DC"/>
    <w:rsid w:val="00B307BE"/>
    <w:rsid w:val="00B545D5"/>
    <w:rsid w:val="00B665E3"/>
    <w:rsid w:val="00B8088B"/>
    <w:rsid w:val="00C0338F"/>
    <w:rsid w:val="00C10242"/>
    <w:rsid w:val="00C126CC"/>
    <w:rsid w:val="00C30CCE"/>
    <w:rsid w:val="00C44EE9"/>
    <w:rsid w:val="00C5491C"/>
    <w:rsid w:val="00C56EB9"/>
    <w:rsid w:val="00C70385"/>
    <w:rsid w:val="00C75EAE"/>
    <w:rsid w:val="00CA235D"/>
    <w:rsid w:val="00CA4103"/>
    <w:rsid w:val="00CC2FBA"/>
    <w:rsid w:val="00CD326B"/>
    <w:rsid w:val="00CD3D68"/>
    <w:rsid w:val="00CF57DB"/>
    <w:rsid w:val="00D2012C"/>
    <w:rsid w:val="00D27184"/>
    <w:rsid w:val="00D54678"/>
    <w:rsid w:val="00D667B6"/>
    <w:rsid w:val="00D71709"/>
    <w:rsid w:val="00D75ADA"/>
    <w:rsid w:val="00D77194"/>
    <w:rsid w:val="00D86674"/>
    <w:rsid w:val="00D9501F"/>
    <w:rsid w:val="00DA1566"/>
    <w:rsid w:val="00DC0D01"/>
    <w:rsid w:val="00DC35C0"/>
    <w:rsid w:val="00DC4B13"/>
    <w:rsid w:val="00DE0EA1"/>
    <w:rsid w:val="00E352AE"/>
    <w:rsid w:val="00E4266E"/>
    <w:rsid w:val="00E64871"/>
    <w:rsid w:val="00E93E54"/>
    <w:rsid w:val="00EC4031"/>
    <w:rsid w:val="00EE7FB6"/>
    <w:rsid w:val="00F0360D"/>
    <w:rsid w:val="00F051AE"/>
    <w:rsid w:val="00F142D4"/>
    <w:rsid w:val="00F348A4"/>
    <w:rsid w:val="00F63EC9"/>
    <w:rsid w:val="00F80A8C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22DE"/>
  <w15:chartTrackingRefBased/>
  <w15:docId w15:val="{0EE14BC1-398D-4319-803F-4F075C8D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berschrift1">
    <w:name w:val="heading 1"/>
    <w:basedOn w:val="Standard"/>
    <w:uiPriority w:val="1"/>
    <w:qFormat/>
    <w:pPr>
      <w:ind w:left="13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25"/>
      <w:ind w:left="370" w:hanging="307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45D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01" w:hanging="283"/>
    </w:pPr>
    <w:rPr>
      <w:rFonts w:ascii="Times New Roman" w:eastAsia="Times New Roman" w:hAnsi="Times New Roman"/>
      <w:sz w:val="19"/>
      <w:szCs w:val="19"/>
      <w:u w:val="single"/>
    </w:rPr>
  </w:style>
  <w:style w:type="paragraph" w:customStyle="1" w:styleId="FarbigeSchattierung-Akzent31">
    <w:name w:val="Farbige Schattierung - Akzent 31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2E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A2E3B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C5491C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491C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C5491C"/>
    <w:rPr>
      <w:sz w:val="24"/>
      <w:szCs w:val="24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491C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C5491C"/>
    <w:rPr>
      <w:b/>
      <w:bCs/>
      <w:sz w:val="24"/>
      <w:szCs w:val="24"/>
      <w:lang w:val="en-US" w:eastAsia="en-US"/>
    </w:rPr>
  </w:style>
  <w:style w:type="character" w:customStyle="1" w:styleId="Betonungkursiv">
    <w:name w:val="Betonung kursiv"/>
    <w:rsid w:val="00AF02AA"/>
    <w:rPr>
      <w:i/>
      <w:color w:val="339966"/>
    </w:rPr>
  </w:style>
  <w:style w:type="character" w:customStyle="1" w:styleId="Betonungfett">
    <w:name w:val="Betonung fett"/>
    <w:rsid w:val="00AF02AA"/>
    <w:rPr>
      <w:b/>
      <w:color w:val="339966"/>
    </w:rPr>
  </w:style>
  <w:style w:type="character" w:customStyle="1" w:styleId="berschrift3Zchn">
    <w:name w:val="Überschrift 3 Zchn"/>
    <w:link w:val="berschrift3"/>
    <w:uiPriority w:val="9"/>
    <w:semiHidden/>
    <w:rsid w:val="00B545D5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berarbeitung">
    <w:name w:val="Revision"/>
    <w:hidden/>
    <w:uiPriority w:val="71"/>
    <w:unhideWhenUsed/>
    <w:rsid w:val="00A1630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D48C-F8A7-4B69-A20E-DE3B52C9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8614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09. Kausalität [VorlAT]</vt:lpstr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 Kausalität [VorlAT]</dc:title>
  <dc:subject/>
  <dc:creator>Professor Dr. Bernd Heinrich</dc:creator>
  <cp:keywords/>
  <cp:lastModifiedBy>Judith Schult</cp:lastModifiedBy>
  <cp:revision>2</cp:revision>
  <cp:lastPrinted>2020-10-16T11:53:00Z</cp:lastPrinted>
  <dcterms:created xsi:type="dcterms:W3CDTF">2024-10-09T11:34:00Z</dcterms:created>
  <dcterms:modified xsi:type="dcterms:W3CDTF">2024-10-09T11:34:00Z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2015-10-25T00:00:00Z</vt:filetime>
  </property>
</Properties>
</file>