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26232" w14:textId="308D6A5D" w:rsidR="00F74749" w:rsidRDefault="00F74749">
      <w:pPr>
        <w:tabs>
          <w:tab w:val="right" w:pos="10206"/>
        </w:tabs>
        <w:jc w:val="both"/>
        <w:rPr>
          <w:b/>
          <w:spacing w:val="-3"/>
        </w:rPr>
      </w:pPr>
      <w:r>
        <w:rPr>
          <w:b/>
          <w:spacing w:val="-3"/>
        </w:rPr>
        <w:t xml:space="preserve">Prof. Dr. </w:t>
      </w:r>
      <w:r w:rsidR="00926F64">
        <w:rPr>
          <w:b/>
          <w:spacing w:val="-3"/>
        </w:rPr>
        <w:t xml:space="preserve">Dr. h.c. </w:t>
      </w:r>
      <w:r>
        <w:rPr>
          <w:b/>
          <w:spacing w:val="-3"/>
        </w:rPr>
        <w:t>Bernd Heinrich/</w:t>
      </w:r>
      <w:r w:rsidR="00862DC8">
        <w:rPr>
          <w:b/>
          <w:spacing w:val="-3"/>
        </w:rPr>
        <w:t>Pr</w:t>
      </w:r>
      <w:r w:rsidR="00D20F73">
        <w:rPr>
          <w:b/>
          <w:spacing w:val="-3"/>
        </w:rPr>
        <w:t>of</w:t>
      </w:r>
      <w:r w:rsidR="00862DC8">
        <w:rPr>
          <w:b/>
          <w:spacing w:val="-3"/>
        </w:rPr>
        <w:t xml:space="preserve">. </w:t>
      </w:r>
      <w:r>
        <w:rPr>
          <w:b/>
          <w:spacing w:val="-3"/>
        </w:rPr>
        <w:t>Dr. Tobias Reinbacher</w:t>
      </w:r>
      <w:r>
        <w:rPr>
          <w:b/>
          <w:spacing w:val="-3"/>
        </w:rPr>
        <w:tab/>
        <w:t xml:space="preserve">Stand: 1. </w:t>
      </w:r>
      <w:r w:rsidR="00A32B92">
        <w:rPr>
          <w:b/>
          <w:spacing w:val="-3"/>
        </w:rPr>
        <w:t>Oktober</w:t>
      </w:r>
      <w:r w:rsidR="00101729">
        <w:rPr>
          <w:b/>
          <w:spacing w:val="-3"/>
        </w:rPr>
        <w:t xml:space="preserve"> </w:t>
      </w:r>
      <w:r w:rsidR="0017387F">
        <w:rPr>
          <w:b/>
          <w:spacing w:val="-3"/>
        </w:rPr>
        <w:t>20</w:t>
      </w:r>
      <w:r w:rsidR="00A51296">
        <w:rPr>
          <w:b/>
          <w:spacing w:val="-3"/>
        </w:rPr>
        <w:t>2</w:t>
      </w:r>
      <w:r w:rsidR="005E7075">
        <w:rPr>
          <w:b/>
          <w:spacing w:val="-3"/>
        </w:rPr>
        <w:t>4</w:t>
      </w:r>
    </w:p>
    <w:p w14:paraId="796E20FB" w14:textId="77777777" w:rsidR="00F74749" w:rsidRDefault="00F74749">
      <w:pPr>
        <w:tabs>
          <w:tab w:val="left" w:pos="-720"/>
        </w:tabs>
        <w:jc w:val="both"/>
        <w:rPr>
          <w:spacing w:val="-3"/>
        </w:rPr>
      </w:pPr>
    </w:p>
    <w:p w14:paraId="10F4311A" w14:textId="5DDFAE8A" w:rsidR="00F74749" w:rsidRDefault="00F74749" w:rsidP="00F74749">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3"/>
        </w:rPr>
      </w:pPr>
      <w:r>
        <w:rPr>
          <w:b/>
          <w:spacing w:val="-3"/>
        </w:rPr>
        <w:t>Examinatorium Strafprozessrecht – Arbeitsblatt Nr.</w:t>
      </w:r>
      <w:r w:rsidR="005E7075">
        <w:rPr>
          <w:b/>
          <w:spacing w:val="-3"/>
        </w:rPr>
        <w:t> </w:t>
      </w:r>
      <w:r>
        <w:rPr>
          <w:b/>
          <w:spacing w:val="-3"/>
        </w:rPr>
        <w:t>13</w:t>
      </w:r>
    </w:p>
    <w:p w14:paraId="030C65ED" w14:textId="77777777" w:rsidR="00F74749" w:rsidRPr="009B3ED9" w:rsidRDefault="00F74749" w:rsidP="00F74749">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7"/>
          <w:sz w:val="52"/>
          <w:szCs w:val="52"/>
        </w:rPr>
      </w:pPr>
      <w:r w:rsidRPr="009B3ED9">
        <w:rPr>
          <w:b/>
          <w:spacing w:val="-7"/>
          <w:sz w:val="52"/>
          <w:szCs w:val="52"/>
        </w:rPr>
        <w:t>Haftbefehl und U-Haft</w:t>
      </w:r>
    </w:p>
    <w:p w14:paraId="0DAEE069" w14:textId="77777777" w:rsidR="00F74749" w:rsidRDefault="00F74749">
      <w:pPr>
        <w:pStyle w:val="Beschriftung"/>
        <w:framePr w:w="9726" w:h="1417" w:hSpace="240" w:vSpace="120" w:wrap="auto" w:vAnchor="text" w:hAnchor="margin" w:x="241" w:y="121"/>
        <w:widowControl/>
        <w:pBdr>
          <w:top w:val="single" w:sz="12" w:space="11" w:color="auto" w:shadow="1"/>
          <w:left w:val="single" w:sz="12" w:space="11" w:color="auto" w:shadow="1"/>
          <w:bottom w:val="single" w:sz="12" w:space="11" w:color="auto" w:shadow="1"/>
          <w:right w:val="single" w:sz="12" w:space="11" w:color="auto" w:shadow="1"/>
        </w:pBdr>
        <w:shd w:val="pct10" w:color="auto" w:fill="auto"/>
        <w:tabs>
          <w:tab w:val="left" w:pos="-720"/>
        </w:tabs>
        <w:spacing w:line="-1" w:lineRule="auto"/>
        <w:jc w:val="both"/>
        <w:rPr>
          <w:rFonts w:ascii="Times New Roman" w:hAnsi="Times New Roman"/>
          <w:vanish/>
          <w:spacing w:val="-7"/>
          <w:sz w:val="60"/>
        </w:rPr>
      </w:pPr>
      <w:r>
        <w:rPr>
          <w:rFonts w:ascii="Times New Roman" w:hAnsi="Times New Roman"/>
          <w:vanish/>
          <w:spacing w:val="-7"/>
          <w:sz w:val="60"/>
        </w:rPr>
        <w:fldChar w:fldCharType="begin"/>
      </w:r>
      <w:r w:rsidR="00661BE6">
        <w:rPr>
          <w:rFonts w:ascii="Times New Roman" w:hAnsi="Times New Roman"/>
          <w:vanish/>
          <w:spacing w:val="-7"/>
          <w:sz w:val="60"/>
        </w:rPr>
        <w:instrText>SEQ</w:instrText>
      </w:r>
      <w:r>
        <w:rPr>
          <w:rFonts w:ascii="Times New Roman" w:hAnsi="Times New Roman"/>
          <w:vanish/>
          <w:spacing w:val="-7"/>
          <w:sz w:val="60"/>
        </w:rPr>
        <w:instrText xml:space="preserve"> Text_Box  \* ARABIC</w:instrText>
      </w:r>
      <w:r>
        <w:rPr>
          <w:rFonts w:ascii="Times New Roman" w:hAnsi="Times New Roman"/>
          <w:vanish/>
          <w:spacing w:val="-7"/>
          <w:sz w:val="60"/>
        </w:rPr>
        <w:fldChar w:fldCharType="separate"/>
      </w:r>
      <w:r w:rsidR="00201F76">
        <w:rPr>
          <w:rFonts w:ascii="Times New Roman" w:hAnsi="Times New Roman"/>
          <w:noProof/>
          <w:vanish/>
          <w:spacing w:val="-7"/>
          <w:sz w:val="60"/>
        </w:rPr>
        <w:t>1</w:t>
      </w:r>
      <w:r>
        <w:rPr>
          <w:rFonts w:ascii="Times New Roman" w:hAnsi="Times New Roman"/>
          <w:vanish/>
          <w:spacing w:val="-7"/>
          <w:sz w:val="60"/>
        </w:rPr>
        <w:fldChar w:fldCharType="end"/>
      </w:r>
    </w:p>
    <w:p w14:paraId="08E3CF2D" w14:textId="77777777" w:rsidR="00F74749" w:rsidRPr="00861661" w:rsidRDefault="00F74749">
      <w:pPr>
        <w:widowControl/>
        <w:tabs>
          <w:tab w:val="left" w:pos="-720"/>
          <w:tab w:val="left" w:pos="0"/>
          <w:tab w:val="left" w:pos="576"/>
          <w:tab w:val="left" w:pos="864"/>
          <w:tab w:val="left" w:pos="1116"/>
          <w:tab w:val="left" w:pos="1404"/>
          <w:tab w:val="left" w:pos="1692"/>
          <w:tab w:val="left" w:pos="1980"/>
          <w:tab w:val="left" w:pos="2268"/>
          <w:tab w:val="left" w:pos="2880"/>
        </w:tabs>
        <w:ind w:left="567" w:hanging="567"/>
        <w:jc w:val="both"/>
        <w:rPr>
          <w:rFonts w:ascii="Times New Roman" w:hAnsi="Times New Roman"/>
          <w:b/>
          <w:spacing w:val="-2"/>
          <w:sz w:val="16"/>
        </w:rPr>
      </w:pPr>
    </w:p>
    <w:p w14:paraId="268FB037" w14:textId="1F0ADD6C" w:rsidR="00F74749" w:rsidRPr="0096781E" w:rsidRDefault="00F74749" w:rsidP="00211534">
      <w:pPr>
        <w:widowControl/>
        <w:tabs>
          <w:tab w:val="left" w:pos="-720"/>
          <w:tab w:val="left" w:pos="567"/>
          <w:tab w:val="left" w:pos="864"/>
          <w:tab w:val="left" w:pos="1116"/>
          <w:tab w:val="left" w:pos="1404"/>
          <w:tab w:val="left" w:pos="1692"/>
          <w:tab w:val="left" w:pos="1980"/>
          <w:tab w:val="left" w:pos="2268"/>
          <w:tab w:val="left" w:pos="2880"/>
        </w:tabs>
        <w:spacing w:line="228" w:lineRule="auto"/>
        <w:ind w:left="284" w:hanging="284"/>
        <w:jc w:val="both"/>
        <w:rPr>
          <w:rFonts w:ascii="Times New Roman" w:hAnsi="Times New Roman"/>
          <w:spacing w:val="-2"/>
          <w:sz w:val="16"/>
        </w:rPr>
      </w:pPr>
      <w:r w:rsidRPr="0096781E">
        <w:rPr>
          <w:rFonts w:ascii="Times New Roman" w:hAnsi="Times New Roman"/>
          <w:b/>
          <w:spacing w:val="-2"/>
          <w:sz w:val="16"/>
        </w:rPr>
        <w:t xml:space="preserve">I. </w:t>
      </w:r>
      <w:r>
        <w:rPr>
          <w:rFonts w:ascii="Times New Roman" w:hAnsi="Times New Roman"/>
          <w:b/>
          <w:spacing w:val="-2"/>
          <w:sz w:val="16"/>
        </w:rPr>
        <w:tab/>
      </w:r>
      <w:r w:rsidRPr="0096781E">
        <w:rPr>
          <w:rFonts w:ascii="Times New Roman" w:hAnsi="Times New Roman"/>
          <w:b/>
          <w:spacing w:val="-2"/>
          <w:sz w:val="16"/>
        </w:rPr>
        <w:t>Allgemeines:</w:t>
      </w:r>
      <w:r w:rsidRPr="0096781E">
        <w:rPr>
          <w:rFonts w:ascii="Times New Roman" w:hAnsi="Times New Roman"/>
          <w:spacing w:val="-2"/>
          <w:sz w:val="16"/>
        </w:rPr>
        <w:t xml:space="preserve"> Ein besonders wichtiges, aber auch besonders einschneidendes Zwangsmittel bildet die Untersuchungshaft, §§ 112 ff. StPO. Sie kann sowohl bereits während des Vorverfahrens (vgl. dazu Arbeitsblatt Nr. 2) als auch nach Anklageerhebung durch das Gericht auf Antrag der </w:t>
      </w:r>
      <w:proofErr w:type="spellStart"/>
      <w:r w:rsidRPr="0096781E">
        <w:rPr>
          <w:rFonts w:ascii="Times New Roman" w:hAnsi="Times New Roman"/>
          <w:spacing w:val="-2"/>
          <w:sz w:val="16"/>
        </w:rPr>
        <w:t>StA</w:t>
      </w:r>
      <w:proofErr w:type="spellEnd"/>
      <w:r w:rsidRPr="0096781E">
        <w:rPr>
          <w:rFonts w:ascii="Times New Roman" w:hAnsi="Times New Roman"/>
          <w:spacing w:val="-2"/>
          <w:sz w:val="16"/>
        </w:rPr>
        <w:t xml:space="preserve"> schriftlich angeordnet werden (Haftbefehl), wenn ein dringender Tatverdacht gegen den Beschuldigten besteht</w:t>
      </w:r>
      <w:r w:rsidR="00BF5D09">
        <w:rPr>
          <w:rFonts w:ascii="Times New Roman" w:hAnsi="Times New Roman"/>
          <w:spacing w:val="-2"/>
          <w:sz w:val="16"/>
        </w:rPr>
        <w:t xml:space="preserve">, </w:t>
      </w:r>
      <w:r w:rsidRPr="0096781E">
        <w:rPr>
          <w:rFonts w:ascii="Times New Roman" w:hAnsi="Times New Roman"/>
          <w:spacing w:val="-2"/>
          <w:sz w:val="16"/>
        </w:rPr>
        <w:t xml:space="preserve">einer der in den §§ 112, 112a StPO vorgesehenen Haftgründe </w:t>
      </w:r>
      <w:r w:rsidR="00BF5D09">
        <w:rPr>
          <w:rFonts w:ascii="Times New Roman" w:hAnsi="Times New Roman"/>
          <w:spacing w:val="-2"/>
          <w:sz w:val="16"/>
        </w:rPr>
        <w:t xml:space="preserve">vorliegt und die Anordnung der U-Haft </w:t>
      </w:r>
      <w:r w:rsidR="009E4B88">
        <w:rPr>
          <w:rFonts w:ascii="Times New Roman" w:hAnsi="Times New Roman"/>
          <w:spacing w:val="-2"/>
          <w:sz w:val="16"/>
        </w:rPr>
        <w:t xml:space="preserve">im Einzelfall </w:t>
      </w:r>
      <w:r w:rsidR="00BF5D09">
        <w:rPr>
          <w:rFonts w:ascii="Times New Roman" w:hAnsi="Times New Roman"/>
          <w:spacing w:val="-2"/>
          <w:sz w:val="16"/>
        </w:rPr>
        <w:t>verhältnismäßig ist</w:t>
      </w:r>
      <w:r w:rsidRPr="0096781E">
        <w:rPr>
          <w:rFonts w:ascii="Times New Roman" w:hAnsi="Times New Roman"/>
          <w:spacing w:val="-2"/>
          <w:sz w:val="16"/>
        </w:rPr>
        <w:t>. Die Anordnung dieser Zwangsmaßnahme ist besonders problematisch, da sie sehr einschneidend für den Betroffenen ist – die Freiheitsentziehung ist die schärfste Maßnahme, die dem Staat zur Verfügung steht –, dessen Schuld andererseits aber noch gar nicht rechtskräftig festgestellt ist. Ziel der Untersuchungshaft ist vornehmlich die Sicherung des Verfahrens und damit der effektiven Strafrechtspflege. Bei Flucht oder Fluchtgefahr geht es um die Sicherstellung der Anwesenheit des Beschuldigten bzw. um die Sicherung der Vollstreckung eines möglichen Urteils, bei Verdunkelungsgefahr um die Sicherung von Beweismitteln zur ordnungsgemäßen Tatsachenermittlung. Bei bestimmten Straftaten sieht das Gesetz auch einen Haftgrund bei Wiederholungsgefahr vor, § 112a StPO. Ziel ist in diesem besonderen Fall die Sicherung der Allgemeinheit vor weiteren Straftaten. Der Erlass des Haftbefehls ist an materielle und formelle Voraussetzungen gebunden.</w:t>
      </w:r>
    </w:p>
    <w:p w14:paraId="7167F0AA" w14:textId="77777777" w:rsidR="00F74749" w:rsidRPr="0096781E" w:rsidRDefault="00F74749" w:rsidP="00211534">
      <w:pPr>
        <w:widowControl/>
        <w:tabs>
          <w:tab w:val="left" w:pos="-720"/>
          <w:tab w:val="left" w:pos="288"/>
          <w:tab w:val="left" w:pos="567"/>
          <w:tab w:val="left" w:pos="864"/>
          <w:tab w:val="left" w:pos="1116"/>
          <w:tab w:val="left" w:pos="1404"/>
          <w:tab w:val="left" w:pos="1692"/>
          <w:tab w:val="left" w:pos="1980"/>
          <w:tab w:val="left" w:pos="2268"/>
          <w:tab w:val="left" w:pos="2880"/>
        </w:tabs>
        <w:spacing w:before="120" w:line="228" w:lineRule="auto"/>
        <w:ind w:left="567" w:hanging="567"/>
        <w:jc w:val="both"/>
        <w:rPr>
          <w:rFonts w:ascii="Times New Roman" w:hAnsi="Times New Roman"/>
          <w:b/>
          <w:spacing w:val="-2"/>
          <w:sz w:val="16"/>
        </w:rPr>
      </w:pPr>
      <w:r w:rsidRPr="0096781E">
        <w:rPr>
          <w:rFonts w:ascii="Times New Roman" w:hAnsi="Times New Roman"/>
          <w:b/>
          <w:spacing w:val="-2"/>
          <w:sz w:val="16"/>
        </w:rPr>
        <w:t xml:space="preserve">II. </w:t>
      </w:r>
      <w:r>
        <w:rPr>
          <w:rFonts w:ascii="Times New Roman" w:hAnsi="Times New Roman"/>
          <w:b/>
          <w:spacing w:val="-2"/>
          <w:sz w:val="16"/>
        </w:rPr>
        <w:tab/>
      </w:r>
      <w:r w:rsidRPr="0096781E">
        <w:rPr>
          <w:rFonts w:ascii="Times New Roman" w:hAnsi="Times New Roman"/>
          <w:b/>
          <w:spacing w:val="-2"/>
          <w:sz w:val="16"/>
        </w:rPr>
        <w:t>Die materiellen Voraussetzungen des Haftbefehls:</w:t>
      </w:r>
      <w:r w:rsidRPr="0096781E">
        <w:rPr>
          <w:rFonts w:ascii="Times New Roman" w:hAnsi="Times New Roman"/>
          <w:spacing w:val="-2"/>
          <w:sz w:val="16"/>
        </w:rPr>
        <w:t xml:space="preserve"> </w:t>
      </w:r>
    </w:p>
    <w:p w14:paraId="3B889CEC" w14:textId="0AF377BD" w:rsidR="00F74749" w:rsidRPr="0096781E" w:rsidRDefault="00F74749" w:rsidP="00211534">
      <w:pPr>
        <w:widowControl/>
        <w:tabs>
          <w:tab w:val="left" w:pos="-720"/>
          <w:tab w:val="left" w:pos="288"/>
          <w:tab w:val="left" w:pos="567"/>
          <w:tab w:val="left" w:pos="864"/>
          <w:tab w:val="left" w:pos="1116"/>
          <w:tab w:val="left" w:pos="1404"/>
          <w:tab w:val="left" w:pos="1692"/>
          <w:tab w:val="left" w:pos="1980"/>
          <w:tab w:val="left" w:pos="2268"/>
          <w:tab w:val="left" w:pos="2880"/>
        </w:tabs>
        <w:spacing w:line="228" w:lineRule="auto"/>
        <w:ind w:left="567" w:hanging="567"/>
        <w:jc w:val="both"/>
        <w:rPr>
          <w:rFonts w:ascii="Times New Roman" w:hAnsi="Times New Roman"/>
          <w:spacing w:val="-2"/>
          <w:sz w:val="16"/>
          <w:u w:val="single"/>
        </w:rPr>
      </w:pPr>
      <w:r w:rsidRPr="007F7D0C">
        <w:rPr>
          <w:rFonts w:ascii="Times New Roman" w:hAnsi="Times New Roman"/>
          <w:spacing w:val="-2"/>
          <w:sz w:val="16"/>
        </w:rPr>
        <w:tab/>
      </w:r>
      <w:r w:rsidRPr="0096781E">
        <w:rPr>
          <w:rFonts w:ascii="Times New Roman" w:hAnsi="Times New Roman"/>
          <w:spacing w:val="-2"/>
          <w:sz w:val="16"/>
          <w:u w:val="single"/>
        </w:rPr>
        <w:t xml:space="preserve">1. </w:t>
      </w:r>
      <w:r>
        <w:rPr>
          <w:rFonts w:ascii="Times New Roman" w:hAnsi="Times New Roman"/>
          <w:spacing w:val="-2"/>
          <w:sz w:val="16"/>
          <w:u w:val="single"/>
        </w:rPr>
        <w:tab/>
      </w:r>
      <w:r w:rsidRPr="0096781E">
        <w:rPr>
          <w:rFonts w:ascii="Times New Roman" w:hAnsi="Times New Roman"/>
          <w:spacing w:val="-2"/>
          <w:sz w:val="16"/>
          <w:u w:val="single"/>
        </w:rPr>
        <w:t>Dringender Tatverdacht:</w:t>
      </w:r>
      <w:r w:rsidRPr="0096781E">
        <w:rPr>
          <w:rFonts w:ascii="Times New Roman" w:hAnsi="Times New Roman"/>
          <w:spacing w:val="-2"/>
          <w:sz w:val="16"/>
        </w:rPr>
        <w:t xml:space="preserve"> Zunächst muss gegen den </w:t>
      </w:r>
      <w:r w:rsidRPr="0096781E">
        <w:rPr>
          <w:rFonts w:ascii="Times New Roman" w:hAnsi="Times New Roman"/>
          <w:spacing w:val="-2"/>
          <w:sz w:val="16"/>
        </w:rPr>
        <w:t xml:space="preserve">Beschuldigten ein dringender Tatverdacht bestehen, § 112 I 1 StPO. Ein solcher ist anzunehmen, wenn eine </w:t>
      </w:r>
      <w:r w:rsidRPr="0096781E">
        <w:rPr>
          <w:rFonts w:ascii="Times New Roman" w:hAnsi="Times New Roman"/>
          <w:b/>
          <w:spacing w:val="-2"/>
          <w:sz w:val="16"/>
        </w:rPr>
        <w:t>hohe Wahrscheinlichkeit</w:t>
      </w:r>
      <w:r w:rsidRPr="0096781E">
        <w:rPr>
          <w:rFonts w:ascii="Times New Roman" w:hAnsi="Times New Roman"/>
          <w:spacing w:val="-2"/>
          <w:sz w:val="16"/>
        </w:rPr>
        <w:t xml:space="preserve"> dahingehend besteht, dass der Beschuldigte Täter </w:t>
      </w:r>
      <w:r w:rsidR="00926F64">
        <w:rPr>
          <w:rFonts w:ascii="Times New Roman" w:hAnsi="Times New Roman"/>
          <w:spacing w:val="-2"/>
          <w:sz w:val="16"/>
        </w:rPr>
        <w:t>oder Teilnehmer einer Straftat</w:t>
      </w:r>
      <w:r w:rsidRPr="0096781E">
        <w:rPr>
          <w:rFonts w:ascii="Times New Roman" w:hAnsi="Times New Roman"/>
          <w:spacing w:val="-2"/>
          <w:sz w:val="16"/>
        </w:rPr>
        <w:t xml:space="preserve"> ist.</w:t>
      </w:r>
    </w:p>
    <w:p w14:paraId="02F8EA9F" w14:textId="4820268E" w:rsidR="00F74749" w:rsidRPr="0096781E" w:rsidRDefault="00F74749" w:rsidP="00211534">
      <w:pPr>
        <w:widowControl/>
        <w:tabs>
          <w:tab w:val="left" w:pos="-720"/>
          <w:tab w:val="left" w:pos="288"/>
          <w:tab w:val="left" w:pos="567"/>
          <w:tab w:val="left" w:pos="864"/>
          <w:tab w:val="left" w:pos="1116"/>
          <w:tab w:val="left" w:pos="1404"/>
          <w:tab w:val="left" w:pos="1692"/>
          <w:tab w:val="left" w:pos="1980"/>
          <w:tab w:val="left" w:pos="2268"/>
          <w:tab w:val="left" w:pos="2880"/>
        </w:tabs>
        <w:spacing w:line="228" w:lineRule="auto"/>
        <w:ind w:left="567" w:hanging="567"/>
        <w:jc w:val="both"/>
        <w:rPr>
          <w:rFonts w:ascii="Times New Roman" w:hAnsi="Times New Roman"/>
          <w:spacing w:val="-2"/>
          <w:sz w:val="16"/>
        </w:rPr>
      </w:pPr>
      <w:r w:rsidRPr="007F7D0C">
        <w:rPr>
          <w:rFonts w:ascii="Times New Roman" w:hAnsi="Times New Roman"/>
          <w:spacing w:val="-2"/>
          <w:sz w:val="16"/>
        </w:rPr>
        <w:tab/>
      </w:r>
      <w:r w:rsidRPr="0096781E">
        <w:rPr>
          <w:rFonts w:ascii="Times New Roman" w:hAnsi="Times New Roman"/>
          <w:spacing w:val="-2"/>
          <w:sz w:val="16"/>
          <w:u w:val="single"/>
        </w:rPr>
        <w:t xml:space="preserve">2. </w:t>
      </w:r>
      <w:r>
        <w:rPr>
          <w:rFonts w:ascii="Times New Roman" w:hAnsi="Times New Roman"/>
          <w:spacing w:val="-2"/>
          <w:sz w:val="16"/>
          <w:u w:val="single"/>
        </w:rPr>
        <w:tab/>
      </w:r>
      <w:r w:rsidRPr="0096781E">
        <w:rPr>
          <w:rFonts w:ascii="Times New Roman" w:hAnsi="Times New Roman"/>
          <w:spacing w:val="-2"/>
          <w:sz w:val="16"/>
          <w:u w:val="single"/>
        </w:rPr>
        <w:t>Haftgründe:</w:t>
      </w:r>
      <w:r w:rsidRPr="0096781E">
        <w:rPr>
          <w:rFonts w:ascii="Times New Roman" w:hAnsi="Times New Roman"/>
          <w:spacing w:val="-2"/>
          <w:sz w:val="16"/>
        </w:rPr>
        <w:t xml:space="preserve"> Des Weiteren muss einer der im Gesetz abschließend genannten Haftgründe vorliegen</w:t>
      </w:r>
      <w:r>
        <w:rPr>
          <w:rFonts w:ascii="Times New Roman" w:hAnsi="Times New Roman"/>
          <w:spacing w:val="-2"/>
          <w:sz w:val="16"/>
        </w:rPr>
        <w:t>, §</w:t>
      </w:r>
      <w:r w:rsidR="007C03E1">
        <w:rPr>
          <w:rFonts w:ascii="Times New Roman" w:hAnsi="Times New Roman"/>
          <w:spacing w:val="-2"/>
          <w:sz w:val="16"/>
        </w:rPr>
        <w:t>§</w:t>
      </w:r>
      <w:r w:rsidR="009E4B88">
        <w:rPr>
          <w:rFonts w:ascii="Times New Roman" w:hAnsi="Times New Roman"/>
          <w:spacing w:val="-2"/>
          <w:sz w:val="16"/>
        </w:rPr>
        <w:t> </w:t>
      </w:r>
      <w:r>
        <w:rPr>
          <w:rFonts w:ascii="Times New Roman" w:hAnsi="Times New Roman"/>
          <w:spacing w:val="-2"/>
          <w:sz w:val="16"/>
        </w:rPr>
        <w:t>112 II</w:t>
      </w:r>
      <w:r w:rsidR="007C03E1">
        <w:rPr>
          <w:rFonts w:ascii="Times New Roman" w:hAnsi="Times New Roman"/>
          <w:spacing w:val="-2"/>
          <w:sz w:val="16"/>
        </w:rPr>
        <w:t>, III, 112a</w:t>
      </w:r>
      <w:r>
        <w:rPr>
          <w:rFonts w:ascii="Times New Roman" w:hAnsi="Times New Roman"/>
          <w:spacing w:val="-2"/>
          <w:sz w:val="16"/>
        </w:rPr>
        <w:t xml:space="preserve"> StPO.</w:t>
      </w:r>
    </w:p>
    <w:p w14:paraId="224D83EB" w14:textId="23D76764" w:rsidR="00F74749" w:rsidRPr="0096781E" w:rsidRDefault="00F74749" w:rsidP="00211534">
      <w:pPr>
        <w:widowControl/>
        <w:tabs>
          <w:tab w:val="left" w:pos="-720"/>
          <w:tab w:val="left" w:pos="288"/>
          <w:tab w:val="left" w:pos="567"/>
          <w:tab w:val="left" w:pos="851"/>
          <w:tab w:val="left" w:pos="1116"/>
          <w:tab w:val="left" w:pos="1404"/>
          <w:tab w:val="left" w:pos="1692"/>
          <w:tab w:val="left" w:pos="1980"/>
          <w:tab w:val="left" w:pos="2268"/>
          <w:tab w:val="left" w:pos="2880"/>
        </w:tabs>
        <w:spacing w:line="228" w:lineRule="auto"/>
        <w:ind w:left="851" w:hanging="302"/>
        <w:jc w:val="both"/>
        <w:rPr>
          <w:rFonts w:ascii="Times New Roman" w:hAnsi="Times New Roman"/>
          <w:spacing w:val="-2"/>
          <w:sz w:val="16"/>
        </w:rPr>
      </w:pPr>
      <w:r w:rsidRPr="0096781E">
        <w:rPr>
          <w:rFonts w:ascii="Times New Roman" w:hAnsi="Times New Roman"/>
          <w:spacing w:val="-2"/>
          <w:sz w:val="16"/>
        </w:rPr>
        <w:tab/>
        <w:t xml:space="preserve">a) </w:t>
      </w:r>
      <w:r>
        <w:rPr>
          <w:rFonts w:ascii="Times New Roman" w:hAnsi="Times New Roman"/>
          <w:spacing w:val="-2"/>
          <w:sz w:val="16"/>
        </w:rPr>
        <w:tab/>
      </w:r>
      <w:r w:rsidRPr="0096781E">
        <w:rPr>
          <w:rFonts w:ascii="Times New Roman" w:hAnsi="Times New Roman"/>
          <w:spacing w:val="-2"/>
          <w:sz w:val="16"/>
          <w:u w:val="single"/>
        </w:rPr>
        <w:t>Flucht oder Fluchtgefahr</w:t>
      </w:r>
      <w:r w:rsidR="007C03E1">
        <w:rPr>
          <w:rFonts w:ascii="Times New Roman" w:hAnsi="Times New Roman"/>
          <w:spacing w:val="-2"/>
          <w:sz w:val="16"/>
          <w:u w:val="single"/>
        </w:rPr>
        <w:t xml:space="preserve"> (§ 112 II Nr. 1, 2 StPO)</w:t>
      </w:r>
      <w:r w:rsidRPr="0096781E">
        <w:rPr>
          <w:rFonts w:ascii="Times New Roman" w:hAnsi="Times New Roman"/>
          <w:spacing w:val="-2"/>
          <w:sz w:val="16"/>
        </w:rPr>
        <w:t xml:space="preserve">: Der Haftgrund Flucht ist erfüllt, wenn auf Grund bestimmter Tatsachen festgestellt </w:t>
      </w:r>
      <w:r w:rsidR="00BF5D09">
        <w:rPr>
          <w:rFonts w:ascii="Times New Roman" w:hAnsi="Times New Roman"/>
          <w:spacing w:val="-2"/>
          <w:sz w:val="16"/>
        </w:rPr>
        <w:t>wird</w:t>
      </w:r>
      <w:r w:rsidRPr="0096781E">
        <w:rPr>
          <w:rFonts w:ascii="Times New Roman" w:hAnsi="Times New Roman"/>
          <w:spacing w:val="-2"/>
          <w:sz w:val="16"/>
        </w:rPr>
        <w:t xml:space="preserve">, dass </w:t>
      </w:r>
      <w:r w:rsidR="00BF5D09">
        <w:rPr>
          <w:rFonts w:ascii="Times New Roman" w:hAnsi="Times New Roman"/>
          <w:spacing w:val="-2"/>
          <w:sz w:val="16"/>
        </w:rPr>
        <w:t>der Beschuldigte</w:t>
      </w:r>
      <w:r w:rsidRPr="0096781E">
        <w:rPr>
          <w:rFonts w:ascii="Times New Roman" w:hAnsi="Times New Roman"/>
          <w:spacing w:val="-2"/>
          <w:sz w:val="16"/>
        </w:rPr>
        <w:t xml:space="preserve"> flüchtig ist oder sich verborgen hält. Auch bei der Fluchtgefahr müssen konkrete Anhaltspunkte dafür vorliegen, dass tatsächlich die Gefahr besteht, der Beschuldigte werde sich durch Flucht dem Strafverfahren entziehen. Das Gericht hat sämtliche bekannten Umstände zu würdigen und in die Beurteilung mit einzubeziehen. Maßgebliche Indizien können z.B. sein: familiäre Bindungen, fester Arbeitsplatz, besondere Beziehungen ins Ausland (evtl. auch Staatsbürgerschaft), finanzielle Lage etc. </w:t>
      </w:r>
      <w:r w:rsidR="00797337">
        <w:rPr>
          <w:rFonts w:ascii="Times New Roman" w:hAnsi="Times New Roman"/>
          <w:spacing w:val="-2"/>
          <w:sz w:val="16"/>
        </w:rPr>
        <w:t>Es ist jeweils e</w:t>
      </w:r>
      <w:r w:rsidRPr="0096781E">
        <w:rPr>
          <w:rFonts w:ascii="Times New Roman" w:hAnsi="Times New Roman"/>
          <w:spacing w:val="-2"/>
          <w:sz w:val="16"/>
        </w:rPr>
        <w:t>ine Einzelfallbetrachtung anzustellen. Eine hohe Straferwartung genügt für sich allein genommen nicht für die Annahme einer Fluchtgefahr. Ebenso wenig ist ein Selbstmordversuch ausreichend, um eine solche Annahme zu stützen.</w:t>
      </w:r>
    </w:p>
    <w:p w14:paraId="12CAA405" w14:textId="34923C12" w:rsidR="00F74749" w:rsidRPr="0096781E" w:rsidRDefault="00F74749" w:rsidP="00211534">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pacing w:line="228" w:lineRule="auto"/>
        <w:ind w:left="851" w:hanging="302"/>
        <w:jc w:val="both"/>
        <w:rPr>
          <w:rFonts w:ascii="Times New Roman" w:hAnsi="Times New Roman" w:cs="Times New Roman"/>
          <w:sz w:val="16"/>
          <w:lang w:bidi="x-none"/>
        </w:rPr>
      </w:pPr>
      <w:r w:rsidRPr="0096781E">
        <w:rPr>
          <w:rFonts w:ascii="Times New Roman" w:hAnsi="Times New Roman"/>
          <w:spacing w:val="-2"/>
          <w:sz w:val="16"/>
        </w:rPr>
        <w:tab/>
        <w:t xml:space="preserve">b) </w:t>
      </w:r>
      <w:r>
        <w:rPr>
          <w:rFonts w:ascii="Times New Roman" w:hAnsi="Times New Roman"/>
          <w:spacing w:val="-2"/>
          <w:sz w:val="16"/>
        </w:rPr>
        <w:tab/>
      </w:r>
      <w:r w:rsidRPr="0096781E">
        <w:rPr>
          <w:rFonts w:ascii="Times New Roman" w:hAnsi="Times New Roman"/>
          <w:spacing w:val="-2"/>
          <w:sz w:val="16"/>
          <w:u w:val="single"/>
        </w:rPr>
        <w:t>Verdunkelungsgefahr</w:t>
      </w:r>
      <w:r w:rsidRPr="0096781E">
        <w:rPr>
          <w:rFonts w:ascii="Times New Roman" w:hAnsi="Times New Roman"/>
          <w:spacing w:val="-2"/>
          <w:sz w:val="16"/>
        </w:rPr>
        <w:t>: § 112 II Nr. 3 StPO zählt die Voraussetzungen der Verdunkelungsgefahr auf, wobei wiederum konkrete Tatsachen eine solche Gefahr begründen müssen: Sie liegt vor, wenn der</w:t>
      </w:r>
      <w:r>
        <w:rPr>
          <w:rFonts w:ascii="Times New Roman" w:hAnsi="Times New Roman"/>
          <w:spacing w:val="-2"/>
          <w:sz w:val="16"/>
        </w:rPr>
        <w:t xml:space="preserve"> dringende Verdacht besteht, der</w:t>
      </w:r>
      <w:r w:rsidRPr="0096781E">
        <w:rPr>
          <w:rFonts w:ascii="Times New Roman" w:hAnsi="Times New Roman"/>
          <w:spacing w:val="-2"/>
          <w:sz w:val="16"/>
        </w:rPr>
        <w:t xml:space="preserve"> Beschuldigte </w:t>
      </w:r>
      <w:r w:rsidRPr="0096781E">
        <w:rPr>
          <w:rFonts w:ascii="Times New Roman" w:hAnsi="Times New Roman" w:cs="Times New Roman"/>
          <w:sz w:val="16"/>
          <w:szCs w:val="20"/>
          <w:lang w:bidi="x-none"/>
        </w:rPr>
        <w:t>werde</w:t>
      </w:r>
    </w:p>
    <w:p w14:paraId="03030F8A" w14:textId="2A07E947" w:rsidR="00F74749" w:rsidRPr="0096781E" w:rsidRDefault="00F74749" w:rsidP="00211534">
      <w:pPr>
        <w:tabs>
          <w:tab w:val="left" w:pos="560"/>
          <w:tab w:val="left" w:pos="1418"/>
          <w:tab w:val="left" w:pos="1680"/>
          <w:tab w:val="left" w:pos="2240"/>
          <w:tab w:val="left" w:pos="2800"/>
          <w:tab w:val="left" w:pos="3360"/>
          <w:tab w:val="left" w:pos="3920"/>
          <w:tab w:val="left" w:pos="4480"/>
          <w:tab w:val="left" w:pos="5040"/>
          <w:tab w:val="left" w:pos="5600"/>
          <w:tab w:val="left" w:pos="6160"/>
          <w:tab w:val="left" w:pos="6720"/>
        </w:tabs>
        <w:spacing w:line="228" w:lineRule="auto"/>
        <w:ind w:left="1418" w:hanging="284"/>
        <w:jc w:val="both"/>
        <w:rPr>
          <w:rFonts w:ascii="Times New Roman" w:hAnsi="Times New Roman" w:cs="Times New Roman"/>
          <w:sz w:val="16"/>
          <w:lang w:bidi="x-none"/>
        </w:rPr>
      </w:pPr>
      <w:proofErr w:type="spellStart"/>
      <w:r w:rsidRPr="0096781E">
        <w:rPr>
          <w:rFonts w:ascii="Times New Roman" w:hAnsi="Times New Roman" w:cs="Times New Roman"/>
          <w:sz w:val="16"/>
          <w:lang w:bidi="x-none"/>
        </w:rPr>
        <w:t>a</w:t>
      </w:r>
      <w:r w:rsidRPr="0096781E">
        <w:rPr>
          <w:rFonts w:ascii="Times New Roman" w:hAnsi="Times New Roman" w:cs="Times New Roman"/>
          <w:sz w:val="16"/>
          <w:szCs w:val="20"/>
          <w:lang w:bidi="x-none"/>
        </w:rPr>
        <w:t>a</w:t>
      </w:r>
      <w:proofErr w:type="spellEnd"/>
      <w:r w:rsidRPr="0096781E">
        <w:rPr>
          <w:rFonts w:ascii="Times New Roman" w:hAnsi="Times New Roman" w:cs="Times New Roman"/>
          <w:sz w:val="16"/>
          <w:szCs w:val="20"/>
          <w:lang w:bidi="x-none"/>
        </w:rPr>
        <w:t xml:space="preserve">) </w:t>
      </w:r>
      <w:r>
        <w:rPr>
          <w:rFonts w:ascii="Times New Roman" w:hAnsi="Times New Roman" w:cs="Times New Roman"/>
          <w:sz w:val="16"/>
          <w:szCs w:val="20"/>
          <w:lang w:bidi="x-none"/>
        </w:rPr>
        <w:tab/>
      </w:r>
      <w:r w:rsidRPr="0096781E">
        <w:rPr>
          <w:rFonts w:ascii="Times New Roman" w:hAnsi="Times New Roman" w:cs="Times New Roman"/>
          <w:sz w:val="16"/>
          <w:szCs w:val="20"/>
          <w:lang w:bidi="x-none"/>
        </w:rPr>
        <w:t>Beweismittel vernichten, verändern, beiseiteschaffen, unterdrücken oder fälschen</w:t>
      </w:r>
      <w:r>
        <w:rPr>
          <w:rFonts w:ascii="Times New Roman" w:hAnsi="Times New Roman" w:cs="Times New Roman"/>
          <w:sz w:val="16"/>
          <w:szCs w:val="20"/>
          <w:lang w:bidi="x-none"/>
        </w:rPr>
        <w:t>,</w:t>
      </w:r>
      <w:r w:rsidRPr="0096781E">
        <w:rPr>
          <w:rFonts w:ascii="Times New Roman" w:hAnsi="Times New Roman" w:cs="Times New Roman"/>
          <w:sz w:val="16"/>
          <w:lang w:bidi="x-none"/>
        </w:rPr>
        <w:t xml:space="preserve"> </w:t>
      </w:r>
      <w:r w:rsidRPr="0096781E">
        <w:rPr>
          <w:rFonts w:ascii="Times New Roman" w:hAnsi="Times New Roman" w:cs="Times New Roman"/>
          <w:sz w:val="16"/>
          <w:szCs w:val="20"/>
          <w:lang w:bidi="x-none"/>
        </w:rPr>
        <w:t>oder</w:t>
      </w:r>
    </w:p>
    <w:p w14:paraId="2777CBB2" w14:textId="42357AA4" w:rsidR="00F74749" w:rsidRPr="0096781E" w:rsidRDefault="00F74749" w:rsidP="00211534">
      <w:pPr>
        <w:tabs>
          <w:tab w:val="left" w:pos="560"/>
          <w:tab w:val="left" w:pos="1418"/>
          <w:tab w:val="left" w:pos="1680"/>
          <w:tab w:val="left" w:pos="2240"/>
          <w:tab w:val="left" w:pos="2800"/>
          <w:tab w:val="left" w:pos="3360"/>
          <w:tab w:val="left" w:pos="3920"/>
          <w:tab w:val="left" w:pos="4480"/>
          <w:tab w:val="left" w:pos="5040"/>
          <w:tab w:val="left" w:pos="5600"/>
          <w:tab w:val="left" w:pos="6160"/>
          <w:tab w:val="left" w:pos="6720"/>
        </w:tabs>
        <w:spacing w:line="228" w:lineRule="auto"/>
        <w:ind w:left="1418" w:hanging="284"/>
        <w:jc w:val="both"/>
        <w:rPr>
          <w:rFonts w:ascii="Times New Roman" w:hAnsi="Times New Roman" w:cs="Times New Roman"/>
          <w:sz w:val="16"/>
          <w:lang w:bidi="x-none"/>
        </w:rPr>
      </w:pPr>
      <w:proofErr w:type="spellStart"/>
      <w:r w:rsidRPr="0096781E">
        <w:rPr>
          <w:rFonts w:ascii="Times New Roman" w:hAnsi="Times New Roman" w:cs="Times New Roman"/>
          <w:sz w:val="16"/>
          <w:szCs w:val="20"/>
          <w:lang w:bidi="x-none"/>
        </w:rPr>
        <w:t>bb</w:t>
      </w:r>
      <w:proofErr w:type="spellEnd"/>
      <w:r w:rsidRPr="0096781E">
        <w:rPr>
          <w:rFonts w:ascii="Times New Roman" w:hAnsi="Times New Roman" w:cs="Times New Roman"/>
          <w:sz w:val="16"/>
          <w:szCs w:val="20"/>
          <w:lang w:bidi="x-none"/>
        </w:rPr>
        <w:t xml:space="preserve">) </w:t>
      </w:r>
      <w:r>
        <w:rPr>
          <w:rFonts w:ascii="Times New Roman" w:hAnsi="Times New Roman" w:cs="Times New Roman"/>
          <w:sz w:val="16"/>
          <w:szCs w:val="20"/>
          <w:lang w:bidi="x-none"/>
        </w:rPr>
        <w:tab/>
      </w:r>
      <w:r w:rsidRPr="0096781E">
        <w:rPr>
          <w:rFonts w:ascii="Times New Roman" w:hAnsi="Times New Roman" w:cs="Times New Roman"/>
          <w:sz w:val="16"/>
          <w:szCs w:val="20"/>
          <w:lang w:bidi="x-none"/>
        </w:rPr>
        <w:t>auf Mitbeschuldigte, Zeugen oder Sachverständige in unlauterer Weise einwirken</w:t>
      </w:r>
      <w:r>
        <w:rPr>
          <w:rFonts w:ascii="Times New Roman" w:hAnsi="Times New Roman" w:cs="Times New Roman"/>
          <w:sz w:val="16"/>
          <w:szCs w:val="20"/>
          <w:lang w:bidi="x-none"/>
        </w:rPr>
        <w:t>,</w:t>
      </w:r>
      <w:r w:rsidRPr="0096781E">
        <w:rPr>
          <w:rFonts w:ascii="Times New Roman" w:hAnsi="Times New Roman" w:cs="Times New Roman"/>
          <w:sz w:val="16"/>
          <w:lang w:bidi="x-none"/>
        </w:rPr>
        <w:t xml:space="preserve"> </w:t>
      </w:r>
      <w:r w:rsidRPr="0096781E">
        <w:rPr>
          <w:rFonts w:ascii="Times New Roman" w:hAnsi="Times New Roman" w:cs="Times New Roman"/>
          <w:sz w:val="16"/>
          <w:szCs w:val="20"/>
          <w:lang w:bidi="x-none"/>
        </w:rPr>
        <w:t>oder</w:t>
      </w:r>
    </w:p>
    <w:p w14:paraId="39CE25BD" w14:textId="5FE08640" w:rsidR="00F74749" w:rsidRPr="0096781E" w:rsidRDefault="00F74749" w:rsidP="00211534">
      <w:pPr>
        <w:tabs>
          <w:tab w:val="left" w:pos="560"/>
          <w:tab w:val="left" w:pos="1418"/>
          <w:tab w:val="left" w:pos="1680"/>
          <w:tab w:val="left" w:pos="2240"/>
          <w:tab w:val="left" w:pos="2800"/>
          <w:tab w:val="left" w:pos="3360"/>
          <w:tab w:val="left" w:pos="3920"/>
          <w:tab w:val="left" w:pos="4480"/>
          <w:tab w:val="left" w:pos="5040"/>
          <w:tab w:val="left" w:pos="5600"/>
          <w:tab w:val="left" w:pos="6160"/>
          <w:tab w:val="left" w:pos="6720"/>
        </w:tabs>
        <w:spacing w:line="228" w:lineRule="auto"/>
        <w:ind w:left="1418" w:hanging="284"/>
        <w:jc w:val="both"/>
        <w:rPr>
          <w:rFonts w:ascii="Times New Roman" w:hAnsi="Times New Roman" w:cs="Times New Roman"/>
          <w:sz w:val="16"/>
          <w:lang w:bidi="x-none"/>
        </w:rPr>
      </w:pPr>
      <w:r w:rsidRPr="0096781E">
        <w:rPr>
          <w:rFonts w:ascii="Times New Roman" w:hAnsi="Times New Roman" w:cs="Times New Roman"/>
          <w:sz w:val="16"/>
          <w:lang w:bidi="x-none"/>
        </w:rPr>
        <w:t>c</w:t>
      </w:r>
      <w:r w:rsidRPr="0096781E">
        <w:rPr>
          <w:rFonts w:ascii="Times New Roman" w:hAnsi="Times New Roman" w:cs="Times New Roman"/>
          <w:sz w:val="16"/>
          <w:szCs w:val="20"/>
          <w:lang w:bidi="x-none"/>
        </w:rPr>
        <w:t xml:space="preserve">c) </w:t>
      </w:r>
      <w:r>
        <w:rPr>
          <w:rFonts w:ascii="Times New Roman" w:hAnsi="Times New Roman" w:cs="Times New Roman"/>
          <w:sz w:val="16"/>
          <w:szCs w:val="20"/>
          <w:lang w:bidi="x-none"/>
        </w:rPr>
        <w:tab/>
      </w:r>
      <w:r w:rsidRPr="0096781E">
        <w:rPr>
          <w:rFonts w:ascii="Times New Roman" w:hAnsi="Times New Roman" w:cs="Times New Roman"/>
          <w:sz w:val="16"/>
          <w:szCs w:val="20"/>
          <w:lang w:bidi="x-none"/>
        </w:rPr>
        <w:t>andere zu solchem Verhalten veranlassen,</w:t>
      </w:r>
    </w:p>
    <w:p w14:paraId="348A8560" w14:textId="77777777" w:rsidR="00F74749" w:rsidRPr="0096781E" w:rsidRDefault="00F74749" w:rsidP="00211534">
      <w:pPr>
        <w:tabs>
          <w:tab w:val="left" w:pos="567"/>
          <w:tab w:val="left" w:pos="1116"/>
          <w:tab w:val="left" w:pos="1692"/>
          <w:tab w:val="left" w:pos="2240"/>
          <w:tab w:val="left" w:pos="2800"/>
          <w:tab w:val="left" w:pos="3360"/>
          <w:tab w:val="left" w:pos="3920"/>
          <w:tab w:val="left" w:pos="4480"/>
          <w:tab w:val="left" w:pos="5040"/>
          <w:tab w:val="left" w:pos="5600"/>
          <w:tab w:val="left" w:pos="6160"/>
          <w:tab w:val="left" w:pos="6720"/>
        </w:tabs>
        <w:spacing w:line="228" w:lineRule="auto"/>
        <w:jc w:val="both"/>
        <w:rPr>
          <w:rFonts w:ascii="Times New Roman" w:hAnsi="Times New Roman" w:cs="Times New Roman"/>
          <w:sz w:val="16"/>
          <w:szCs w:val="20"/>
          <w:lang w:bidi="x-none"/>
        </w:rPr>
      </w:pPr>
      <w:r w:rsidRPr="0096781E">
        <w:rPr>
          <w:rFonts w:ascii="Times New Roman" w:hAnsi="Times New Roman" w:cs="Times New Roman"/>
          <w:sz w:val="16"/>
          <w:szCs w:val="14"/>
          <w:lang w:bidi="x-none"/>
        </w:rPr>
        <w:tab/>
      </w:r>
      <w:r w:rsidRPr="0096781E">
        <w:rPr>
          <w:rFonts w:ascii="Times New Roman" w:hAnsi="Times New Roman" w:cs="Times New Roman"/>
          <w:sz w:val="16"/>
          <w:szCs w:val="14"/>
          <w:lang w:bidi="x-none"/>
        </w:rPr>
        <w:tab/>
      </w:r>
      <w:r w:rsidRPr="004F2F7D">
        <w:rPr>
          <w:rFonts w:ascii="Times New Roman" w:hAnsi="Times New Roman" w:cs="Times New Roman"/>
          <w:b/>
          <w:sz w:val="16"/>
          <w:szCs w:val="20"/>
          <w:lang w:bidi="x-none"/>
        </w:rPr>
        <w:t>und</w:t>
      </w:r>
      <w:r w:rsidRPr="0096781E">
        <w:rPr>
          <w:rFonts w:ascii="Times New Roman" w:hAnsi="Times New Roman" w:cs="Times New Roman"/>
          <w:sz w:val="16"/>
          <w:szCs w:val="20"/>
          <w:lang w:bidi="x-none"/>
        </w:rPr>
        <w:t xml:space="preserve"> wenn deshalb die Gefahr droht, dass die Ermittlung der Wahrheit erschwert werde.</w:t>
      </w:r>
    </w:p>
    <w:p w14:paraId="412B72D1" w14:textId="083AA86E" w:rsidR="00F74749" w:rsidRPr="0096781E" w:rsidRDefault="00F74749" w:rsidP="00211534">
      <w:pPr>
        <w:tabs>
          <w:tab w:val="left" w:pos="567"/>
          <w:tab w:val="left" w:pos="1692"/>
          <w:tab w:val="left" w:pos="2240"/>
          <w:tab w:val="left" w:pos="2800"/>
          <w:tab w:val="left" w:pos="3360"/>
          <w:tab w:val="left" w:pos="3920"/>
          <w:tab w:val="left" w:pos="4480"/>
          <w:tab w:val="left" w:pos="5040"/>
          <w:tab w:val="left" w:pos="5600"/>
          <w:tab w:val="left" w:pos="6160"/>
          <w:tab w:val="left" w:pos="6720"/>
        </w:tabs>
        <w:spacing w:line="228" w:lineRule="auto"/>
        <w:ind w:left="851" w:hanging="302"/>
        <w:jc w:val="both"/>
        <w:rPr>
          <w:rFonts w:ascii="Times New Roman" w:hAnsi="Times New Roman" w:cs="Times New Roman"/>
          <w:sz w:val="16"/>
          <w:szCs w:val="20"/>
          <w:lang w:bidi="x-none"/>
        </w:rPr>
      </w:pPr>
      <w:r w:rsidRPr="0096781E">
        <w:rPr>
          <w:rFonts w:ascii="Times New Roman" w:hAnsi="Times New Roman" w:cs="Times New Roman"/>
          <w:sz w:val="16"/>
          <w:szCs w:val="20"/>
          <w:lang w:bidi="x-none"/>
        </w:rPr>
        <w:tab/>
        <w:t xml:space="preserve">c) </w:t>
      </w:r>
      <w:r>
        <w:rPr>
          <w:rFonts w:ascii="Times New Roman" w:hAnsi="Times New Roman" w:cs="Times New Roman"/>
          <w:sz w:val="16"/>
          <w:szCs w:val="20"/>
          <w:lang w:bidi="x-none"/>
        </w:rPr>
        <w:tab/>
      </w:r>
      <w:r w:rsidRPr="0096781E">
        <w:rPr>
          <w:rFonts w:ascii="Times New Roman" w:hAnsi="Times New Roman" w:cs="Times New Roman"/>
          <w:sz w:val="16"/>
          <w:szCs w:val="20"/>
          <w:u w:val="single"/>
          <w:lang w:bidi="x-none"/>
        </w:rPr>
        <w:t>Verdacht eines Schwerstverbrechens</w:t>
      </w:r>
      <w:r w:rsidRPr="0096781E">
        <w:rPr>
          <w:rFonts w:ascii="Times New Roman" w:hAnsi="Times New Roman" w:cs="Times New Roman"/>
          <w:sz w:val="16"/>
          <w:szCs w:val="20"/>
          <w:lang w:bidi="x-none"/>
        </w:rPr>
        <w:t>: Nach dem Wortlaut des § 112 III StPO kann U-Haft auc</w:t>
      </w:r>
      <w:r>
        <w:rPr>
          <w:rFonts w:ascii="Times New Roman" w:hAnsi="Times New Roman" w:cs="Times New Roman"/>
          <w:sz w:val="16"/>
          <w:szCs w:val="20"/>
          <w:lang w:bidi="x-none"/>
        </w:rPr>
        <w:t>h dann verhängt werden, wenn der</w:t>
      </w:r>
      <w:r w:rsidRPr="0096781E">
        <w:rPr>
          <w:rFonts w:ascii="Times New Roman" w:hAnsi="Times New Roman" w:cs="Times New Roman"/>
          <w:sz w:val="16"/>
          <w:szCs w:val="20"/>
          <w:lang w:bidi="x-none"/>
        </w:rPr>
        <w:t xml:space="preserve"> Beschuldigte verdächtig ist, eine der dort aufgezählten Katalogtaten begangen zu haben. Zu diesen Taten gehören insb</w:t>
      </w:r>
      <w:r w:rsidR="007C03E1">
        <w:rPr>
          <w:rFonts w:ascii="Times New Roman" w:hAnsi="Times New Roman" w:cs="Times New Roman"/>
          <w:sz w:val="16"/>
          <w:szCs w:val="20"/>
          <w:lang w:bidi="x-none"/>
        </w:rPr>
        <w:t>.</w:t>
      </w:r>
      <w:r w:rsidRPr="0096781E">
        <w:rPr>
          <w:rFonts w:ascii="Times New Roman" w:hAnsi="Times New Roman" w:cs="Times New Roman"/>
          <w:sz w:val="16"/>
          <w:szCs w:val="20"/>
          <w:lang w:bidi="x-none"/>
        </w:rPr>
        <w:t xml:space="preserve"> Mord und Totschlag oder schwere Körperverletzung. Dies ist aber im Hinblick auf den bereits oben kurz skizzierten schweren Eingriff in die Freiheitsrechte des noch nicht rechtskräftig verurteilten (!) Beschuldigten äußerst bedenklich. Daher ist die Norm verfassungskonform dahingehend auszulegen, dass ein Haftgrund im Sinne des § 112 II StPO immerhin nicht ausgeschlossen sein darf, da ansonsten die U-Haft den Charakter einer reinen Verdachtsstrafe erhielte.</w:t>
      </w:r>
    </w:p>
    <w:p w14:paraId="3AE08595" w14:textId="2D000280" w:rsidR="00F74749" w:rsidRPr="0096781E" w:rsidRDefault="00F74749" w:rsidP="00211534">
      <w:pPr>
        <w:widowControl/>
        <w:tabs>
          <w:tab w:val="left" w:pos="-720"/>
          <w:tab w:val="left" w:pos="288"/>
          <w:tab w:val="left" w:pos="864"/>
          <w:tab w:val="left" w:pos="1116"/>
          <w:tab w:val="left" w:pos="1404"/>
          <w:tab w:val="left" w:pos="1692"/>
          <w:tab w:val="left" w:pos="1980"/>
          <w:tab w:val="left" w:pos="2268"/>
          <w:tab w:val="left" w:pos="2880"/>
        </w:tabs>
        <w:spacing w:line="228" w:lineRule="auto"/>
        <w:ind w:left="851" w:hanging="284"/>
        <w:jc w:val="both"/>
        <w:rPr>
          <w:rFonts w:ascii="Times New Roman" w:hAnsi="Times New Roman" w:cs="Times New Roman"/>
          <w:sz w:val="16"/>
          <w:szCs w:val="20"/>
          <w:lang w:bidi="x-none"/>
        </w:rPr>
      </w:pPr>
      <w:r w:rsidRPr="0096781E">
        <w:rPr>
          <w:rFonts w:ascii="Times New Roman" w:hAnsi="Times New Roman" w:cs="Times New Roman"/>
          <w:sz w:val="16"/>
          <w:szCs w:val="20"/>
          <w:lang w:bidi="x-none"/>
        </w:rPr>
        <w:t xml:space="preserve">d) </w:t>
      </w:r>
      <w:r>
        <w:rPr>
          <w:rFonts w:ascii="Times New Roman" w:hAnsi="Times New Roman" w:cs="Times New Roman"/>
          <w:sz w:val="16"/>
          <w:szCs w:val="20"/>
          <w:lang w:bidi="x-none"/>
        </w:rPr>
        <w:tab/>
      </w:r>
      <w:r w:rsidRPr="0096781E">
        <w:rPr>
          <w:rFonts w:ascii="Times New Roman" w:hAnsi="Times New Roman" w:cs="Times New Roman"/>
          <w:sz w:val="16"/>
          <w:szCs w:val="20"/>
          <w:u w:val="single"/>
          <w:lang w:bidi="x-none"/>
        </w:rPr>
        <w:t>Wiederholungsgefahr</w:t>
      </w:r>
      <w:r w:rsidRPr="0096781E">
        <w:rPr>
          <w:rFonts w:ascii="Times New Roman" w:hAnsi="Times New Roman" w:cs="Times New Roman"/>
          <w:sz w:val="16"/>
          <w:szCs w:val="20"/>
          <w:lang w:bidi="x-none"/>
        </w:rPr>
        <w:t xml:space="preserve">: § 112a StPO enthält den </w:t>
      </w:r>
      <w:r w:rsidR="00A51296">
        <w:rPr>
          <w:rFonts w:ascii="Times New Roman" w:hAnsi="Times New Roman" w:cs="Times New Roman"/>
          <w:sz w:val="16"/>
          <w:szCs w:val="20"/>
          <w:lang w:bidi="x-none"/>
        </w:rPr>
        <w:t xml:space="preserve">besonderen </w:t>
      </w:r>
      <w:r w:rsidRPr="0096781E">
        <w:rPr>
          <w:rFonts w:ascii="Times New Roman" w:hAnsi="Times New Roman" w:cs="Times New Roman"/>
          <w:sz w:val="16"/>
          <w:szCs w:val="20"/>
          <w:lang w:bidi="x-none"/>
        </w:rPr>
        <w:t>Haftgrund der Wiederholung</w:t>
      </w:r>
      <w:r w:rsidR="00A51296">
        <w:rPr>
          <w:rFonts w:ascii="Times New Roman" w:hAnsi="Times New Roman" w:cs="Times New Roman"/>
          <w:sz w:val="16"/>
          <w:szCs w:val="20"/>
          <w:lang w:bidi="x-none"/>
        </w:rPr>
        <w:t xml:space="preserve">sgefahr </w:t>
      </w:r>
      <w:r w:rsidR="00A51296" w:rsidRPr="00A51296">
        <w:rPr>
          <w:rFonts w:ascii="Times New Roman" w:hAnsi="Times New Roman" w:cs="Times New Roman"/>
          <w:sz w:val="16"/>
          <w:szCs w:val="20"/>
          <w:lang w:bidi="x-none"/>
        </w:rPr>
        <w:t>zum Schutz der A</w:t>
      </w:r>
      <w:r w:rsidR="00A51296">
        <w:rPr>
          <w:rFonts w:ascii="Times New Roman" w:hAnsi="Times New Roman" w:cs="Times New Roman"/>
          <w:sz w:val="16"/>
          <w:szCs w:val="20"/>
          <w:lang w:bidi="x-none"/>
        </w:rPr>
        <w:t>llge</w:t>
      </w:r>
      <w:r w:rsidR="00A51296" w:rsidRPr="00A51296">
        <w:rPr>
          <w:rFonts w:ascii="Times New Roman" w:hAnsi="Times New Roman" w:cs="Times New Roman"/>
          <w:sz w:val="16"/>
          <w:szCs w:val="20"/>
          <w:lang w:bidi="x-none"/>
        </w:rPr>
        <w:t>meinheit vor weiteren erheblichen Straftaten des Beschuldigten. Der Haftg</w:t>
      </w:r>
      <w:r w:rsidR="00A51296">
        <w:rPr>
          <w:rFonts w:ascii="Times New Roman" w:hAnsi="Times New Roman" w:cs="Times New Roman"/>
          <w:sz w:val="16"/>
          <w:szCs w:val="20"/>
          <w:lang w:bidi="x-none"/>
        </w:rPr>
        <w:t xml:space="preserve">rund ist subsidiär (vgl. § 112a II </w:t>
      </w:r>
      <w:r w:rsidR="00A51296" w:rsidRPr="00A51296">
        <w:rPr>
          <w:rFonts w:ascii="Times New Roman" w:hAnsi="Times New Roman" w:cs="Times New Roman"/>
          <w:sz w:val="16"/>
          <w:szCs w:val="20"/>
          <w:lang w:bidi="x-none"/>
        </w:rPr>
        <w:t>StPO). Anlasstaten nach §</w:t>
      </w:r>
      <w:r w:rsidR="00226FC8">
        <w:rPr>
          <w:rFonts w:ascii="Times New Roman" w:hAnsi="Times New Roman" w:cs="Times New Roman"/>
          <w:sz w:val="16"/>
          <w:szCs w:val="20"/>
          <w:lang w:bidi="x-none"/>
        </w:rPr>
        <w:t> </w:t>
      </w:r>
      <w:r w:rsidR="00A51296" w:rsidRPr="00A51296">
        <w:rPr>
          <w:rFonts w:ascii="Times New Roman" w:hAnsi="Times New Roman" w:cs="Times New Roman"/>
          <w:sz w:val="16"/>
          <w:szCs w:val="20"/>
          <w:lang w:bidi="x-none"/>
        </w:rPr>
        <w:t xml:space="preserve">112a </w:t>
      </w:r>
      <w:r w:rsidR="00A51296">
        <w:rPr>
          <w:rFonts w:ascii="Times New Roman" w:hAnsi="Times New Roman" w:cs="Times New Roman"/>
          <w:sz w:val="16"/>
          <w:szCs w:val="20"/>
          <w:lang w:bidi="x-none"/>
        </w:rPr>
        <w:t xml:space="preserve">I Nr. 1 </w:t>
      </w:r>
      <w:r w:rsidR="00A51296" w:rsidRPr="00A51296">
        <w:rPr>
          <w:rFonts w:ascii="Times New Roman" w:hAnsi="Times New Roman" w:cs="Times New Roman"/>
          <w:sz w:val="16"/>
          <w:szCs w:val="20"/>
          <w:lang w:bidi="x-none"/>
        </w:rPr>
        <w:t>StPO s</w:t>
      </w:r>
      <w:r w:rsidR="00A51296">
        <w:rPr>
          <w:rFonts w:ascii="Times New Roman" w:hAnsi="Times New Roman" w:cs="Times New Roman"/>
          <w:sz w:val="16"/>
          <w:szCs w:val="20"/>
          <w:lang w:bidi="x-none"/>
        </w:rPr>
        <w:t>ind insb</w:t>
      </w:r>
      <w:r w:rsidR="007C03E1">
        <w:rPr>
          <w:rFonts w:ascii="Times New Roman" w:hAnsi="Times New Roman" w:cs="Times New Roman"/>
          <w:sz w:val="16"/>
          <w:szCs w:val="20"/>
          <w:lang w:bidi="x-none"/>
        </w:rPr>
        <w:t>.</w:t>
      </w:r>
      <w:r w:rsidR="00A51296">
        <w:rPr>
          <w:rFonts w:ascii="Times New Roman" w:hAnsi="Times New Roman" w:cs="Times New Roman"/>
          <w:sz w:val="16"/>
          <w:szCs w:val="20"/>
          <w:lang w:bidi="x-none"/>
        </w:rPr>
        <w:t xml:space="preserve"> bestimmte Sexualdelikte</w:t>
      </w:r>
      <w:r w:rsidR="00624927">
        <w:rPr>
          <w:rFonts w:ascii="Times New Roman" w:hAnsi="Times New Roman" w:cs="Times New Roman"/>
          <w:sz w:val="16"/>
          <w:szCs w:val="20"/>
          <w:lang w:bidi="x-none"/>
        </w:rPr>
        <w:t xml:space="preserve"> und die </w:t>
      </w:r>
      <w:r w:rsidR="00BE4805">
        <w:rPr>
          <w:rFonts w:ascii="Times New Roman" w:hAnsi="Times New Roman" w:cs="Times New Roman"/>
          <w:sz w:val="16"/>
          <w:szCs w:val="20"/>
          <w:lang w:bidi="x-none"/>
        </w:rPr>
        <w:t xml:space="preserve">besonders schwere und erfolgsqualifizierte </w:t>
      </w:r>
      <w:r w:rsidR="00624927">
        <w:rPr>
          <w:rFonts w:ascii="Times New Roman" w:hAnsi="Times New Roman" w:cs="Times New Roman"/>
          <w:sz w:val="16"/>
          <w:szCs w:val="20"/>
          <w:lang w:bidi="x-none"/>
        </w:rPr>
        <w:t>Nachstellung nach §</w:t>
      </w:r>
      <w:r w:rsidR="00226FC8">
        <w:rPr>
          <w:rFonts w:ascii="Times New Roman" w:hAnsi="Times New Roman" w:cs="Times New Roman"/>
          <w:sz w:val="16"/>
          <w:szCs w:val="20"/>
          <w:lang w:bidi="x-none"/>
        </w:rPr>
        <w:t> </w:t>
      </w:r>
      <w:r w:rsidR="00624927">
        <w:rPr>
          <w:rFonts w:ascii="Times New Roman" w:hAnsi="Times New Roman" w:cs="Times New Roman"/>
          <w:sz w:val="16"/>
          <w:szCs w:val="20"/>
          <w:lang w:bidi="x-none"/>
        </w:rPr>
        <w:t>238 II, III StGB</w:t>
      </w:r>
      <w:r w:rsidR="00A51296">
        <w:rPr>
          <w:rFonts w:ascii="Times New Roman" w:hAnsi="Times New Roman" w:cs="Times New Roman"/>
          <w:sz w:val="16"/>
          <w:szCs w:val="20"/>
          <w:lang w:bidi="x-none"/>
        </w:rPr>
        <w:t xml:space="preserve">. </w:t>
      </w:r>
      <w:r w:rsidRPr="0096781E">
        <w:rPr>
          <w:rFonts w:ascii="Times New Roman" w:hAnsi="Times New Roman" w:cs="Times New Roman"/>
          <w:sz w:val="16"/>
          <w:szCs w:val="20"/>
          <w:lang w:bidi="x-none"/>
        </w:rPr>
        <w:t>In § 112a I Nr. 2 StPO finden sich ferner eine Reihe weiterer mittelschwerer Straftaten, wie etwa qualifizierte Körperverletzungs- (§§ 224-227 StGB) oder Raubdelikte (§§ 249-255 StGB). Anders als bei § 112a I Nr. </w:t>
      </w:r>
      <w:r w:rsidR="00C8585F">
        <w:rPr>
          <w:rFonts w:ascii="Times New Roman" w:hAnsi="Times New Roman" w:cs="Times New Roman"/>
          <w:sz w:val="16"/>
          <w:szCs w:val="20"/>
          <w:lang w:bidi="x-none"/>
        </w:rPr>
        <w:t>1</w:t>
      </w:r>
      <w:r w:rsidRPr="0096781E">
        <w:rPr>
          <w:rFonts w:ascii="Times New Roman" w:hAnsi="Times New Roman" w:cs="Times New Roman"/>
          <w:sz w:val="16"/>
          <w:szCs w:val="20"/>
          <w:lang w:bidi="x-none"/>
        </w:rPr>
        <w:t> StPO, ist die Wiederholungsgefahr hier aber nicht bereits durch die erste Begehung der Tat indiziert, sondern es ist eine wiederholte und fortgesetzte Begehung erforderlich. Bei beiden Alternativen müssen wiederum bestimmte Tatsachen den Verdacht der Wiederholung stützen. In den Fällen des § 112a I Nr. 2 StPO ist zusätzlich eine Straferwartung von</w:t>
      </w:r>
      <w:r w:rsidR="00A51296">
        <w:rPr>
          <w:rFonts w:ascii="Times New Roman" w:hAnsi="Times New Roman" w:cs="Times New Roman"/>
          <w:sz w:val="16"/>
          <w:szCs w:val="20"/>
          <w:lang w:bidi="x-none"/>
        </w:rPr>
        <w:t xml:space="preserve"> mehr als einem Jahr notwendig.</w:t>
      </w:r>
    </w:p>
    <w:p w14:paraId="52716DCF" w14:textId="5C0DF7DB" w:rsidR="00F74749" w:rsidRPr="0096781E" w:rsidRDefault="00F74749" w:rsidP="00211534">
      <w:pPr>
        <w:tabs>
          <w:tab w:val="left" w:pos="288"/>
          <w:tab w:val="left" w:pos="1116"/>
          <w:tab w:val="left" w:pos="1692"/>
          <w:tab w:val="left" w:pos="2240"/>
          <w:tab w:val="left" w:pos="2800"/>
          <w:tab w:val="left" w:pos="3360"/>
          <w:tab w:val="left" w:pos="3920"/>
          <w:tab w:val="left" w:pos="4480"/>
          <w:tab w:val="left" w:pos="5040"/>
          <w:tab w:val="left" w:pos="5600"/>
          <w:tab w:val="left" w:pos="6160"/>
          <w:tab w:val="left" w:pos="6720"/>
        </w:tabs>
        <w:spacing w:line="228" w:lineRule="auto"/>
        <w:ind w:left="567" w:hanging="567"/>
        <w:jc w:val="both"/>
        <w:rPr>
          <w:rFonts w:ascii="Times New Roman" w:hAnsi="Times New Roman"/>
          <w:spacing w:val="-2"/>
          <w:sz w:val="16"/>
        </w:rPr>
      </w:pPr>
      <w:r w:rsidRPr="007F7D0C">
        <w:rPr>
          <w:rFonts w:ascii="Times New Roman" w:hAnsi="Times New Roman" w:cs="Times New Roman"/>
          <w:sz w:val="16"/>
          <w:szCs w:val="20"/>
          <w:lang w:bidi="x-none"/>
        </w:rPr>
        <w:tab/>
      </w:r>
      <w:r w:rsidRPr="0096781E">
        <w:rPr>
          <w:rFonts w:ascii="Times New Roman" w:hAnsi="Times New Roman" w:cs="Times New Roman"/>
          <w:sz w:val="16"/>
          <w:szCs w:val="20"/>
          <w:u w:val="single"/>
          <w:lang w:bidi="x-none"/>
        </w:rPr>
        <w:t xml:space="preserve">3. </w:t>
      </w:r>
      <w:r>
        <w:rPr>
          <w:rFonts w:ascii="Times New Roman" w:hAnsi="Times New Roman" w:cs="Times New Roman"/>
          <w:sz w:val="16"/>
          <w:szCs w:val="20"/>
          <w:u w:val="single"/>
          <w:lang w:bidi="x-none"/>
        </w:rPr>
        <w:tab/>
      </w:r>
      <w:r w:rsidRPr="0096781E">
        <w:rPr>
          <w:rFonts w:ascii="Times New Roman" w:hAnsi="Times New Roman" w:cs="Times New Roman"/>
          <w:sz w:val="16"/>
          <w:szCs w:val="20"/>
          <w:u w:val="single"/>
          <w:lang w:bidi="x-none"/>
        </w:rPr>
        <w:t>Verhältnismäßigkeit:</w:t>
      </w:r>
      <w:r w:rsidRPr="0096781E">
        <w:rPr>
          <w:rFonts w:ascii="Times New Roman" w:hAnsi="Times New Roman" w:cs="Times New Roman"/>
          <w:sz w:val="16"/>
          <w:szCs w:val="20"/>
          <w:lang w:bidi="x-none"/>
        </w:rPr>
        <w:t xml:space="preserve"> Da die Freiheitsentziehung einen besonders schweren Grundrechtseingriff darstellt, ist der Verhältnismäßigkeitsgrundsatz streng zu beachten. Dies folgt bereits aus verfassungsrechtlichen Erwägungen. § 112 I 2 StPO hält den Verhältnismäßigkeitsgrundsatz aber noch einmal explizit fest: Die U-Haft darf nicht angeordnet werden, wenn sie zu der Bedeutung der Sache und der zu erwartenden Strafe oder Maßregel</w:t>
      </w:r>
      <w:r w:rsidRPr="0096781E">
        <w:rPr>
          <w:rFonts w:ascii="Times New Roman" w:hAnsi="Times New Roman" w:cs="Times New Roman"/>
          <w:sz w:val="16"/>
          <w:lang w:bidi="x-none"/>
        </w:rPr>
        <w:t xml:space="preserve"> </w:t>
      </w:r>
      <w:r w:rsidRPr="0096781E">
        <w:rPr>
          <w:rFonts w:ascii="Times New Roman" w:hAnsi="Times New Roman" w:cs="Times New Roman"/>
          <w:sz w:val="16"/>
          <w:szCs w:val="20"/>
          <w:lang w:bidi="x-none"/>
        </w:rPr>
        <w:t>der Besserung und Sicherung außer Verhältnis steht. Eine weitere Konkretisierung findet sich in § 113 StPO für die Haftgründe der Verdunkelungs- und Fluchtgefahr. Zu beachten ist ferner, dass der verfassungsrechtliche Verhältnismäßigkeitsgrundsatz selbst bei Vorliegen der Voraussetzungen der §§ 112 I 2, 113 StPO die Anordnung einer U-Haft ausschließen kann.</w:t>
      </w:r>
    </w:p>
    <w:p w14:paraId="648E7F61" w14:textId="7A25C893" w:rsidR="00F74749" w:rsidRPr="0096781E" w:rsidRDefault="00F74749" w:rsidP="00211534">
      <w:pPr>
        <w:tabs>
          <w:tab w:val="left" w:pos="567"/>
          <w:tab w:val="left" w:pos="1116"/>
          <w:tab w:val="left" w:pos="1692"/>
          <w:tab w:val="left" w:pos="2240"/>
          <w:tab w:val="left" w:pos="2800"/>
          <w:tab w:val="left" w:pos="3360"/>
          <w:tab w:val="left" w:pos="3920"/>
          <w:tab w:val="left" w:pos="4480"/>
          <w:tab w:val="left" w:pos="5040"/>
          <w:tab w:val="left" w:pos="5600"/>
          <w:tab w:val="left" w:pos="6160"/>
          <w:tab w:val="left" w:pos="6720"/>
        </w:tabs>
        <w:spacing w:before="120" w:line="228" w:lineRule="auto"/>
        <w:ind w:left="284" w:hanging="284"/>
        <w:jc w:val="both"/>
        <w:rPr>
          <w:rFonts w:ascii="Times New Roman" w:hAnsi="Times New Roman"/>
          <w:b/>
          <w:spacing w:val="-2"/>
          <w:sz w:val="16"/>
        </w:rPr>
      </w:pPr>
      <w:r w:rsidRPr="0096781E">
        <w:rPr>
          <w:rFonts w:ascii="Times New Roman" w:hAnsi="Times New Roman"/>
          <w:b/>
          <w:spacing w:val="-2"/>
          <w:sz w:val="16"/>
        </w:rPr>
        <w:t xml:space="preserve">III. Die formellen Voraussetzungen des Haftbefehls: </w:t>
      </w:r>
      <w:r w:rsidRPr="0096781E">
        <w:rPr>
          <w:rFonts w:ascii="Times New Roman" w:hAnsi="Times New Roman"/>
          <w:spacing w:val="-2"/>
          <w:sz w:val="16"/>
        </w:rPr>
        <w:t xml:space="preserve">Zuständig für den Erlass eines Haftbefehls ist vor Erhebung der öffentlichen Klage der Ermittlungsrichter am AG, in dessen Bezirk ein Gerichtsstand begründet ist oder der Beschuldigte sich aufhält, § 125 I StPO. Nach Erhebung der Anklage ist das Gericht der Hauptsache zuständig, § 125 II StPO. Der Haftbefehl ergeht auf Antrag der </w:t>
      </w:r>
      <w:proofErr w:type="spellStart"/>
      <w:r w:rsidRPr="0096781E">
        <w:rPr>
          <w:rFonts w:ascii="Times New Roman" w:hAnsi="Times New Roman"/>
          <w:spacing w:val="-2"/>
          <w:sz w:val="16"/>
        </w:rPr>
        <w:t>StA</w:t>
      </w:r>
      <w:proofErr w:type="spellEnd"/>
      <w:r w:rsidRPr="0096781E">
        <w:rPr>
          <w:rFonts w:ascii="Times New Roman" w:hAnsi="Times New Roman"/>
          <w:spacing w:val="-2"/>
          <w:sz w:val="16"/>
        </w:rPr>
        <w:t xml:space="preserve"> </w:t>
      </w:r>
      <w:r w:rsidR="0031690C">
        <w:rPr>
          <w:rFonts w:ascii="Times New Roman" w:hAnsi="Times New Roman"/>
          <w:spacing w:val="-2"/>
          <w:sz w:val="16"/>
        </w:rPr>
        <w:t xml:space="preserve">oder von Amts wegen (§ 125 I StPO) </w:t>
      </w:r>
      <w:r w:rsidRPr="0096781E">
        <w:rPr>
          <w:rFonts w:ascii="Times New Roman" w:hAnsi="Times New Roman"/>
          <w:spacing w:val="-2"/>
          <w:sz w:val="16"/>
        </w:rPr>
        <w:t>und ist stets schriftlich abzufassen</w:t>
      </w:r>
      <w:r w:rsidR="0031690C">
        <w:rPr>
          <w:rFonts w:ascii="Times New Roman" w:hAnsi="Times New Roman"/>
          <w:spacing w:val="-2"/>
          <w:sz w:val="16"/>
        </w:rPr>
        <w:t xml:space="preserve"> (§ 114 </w:t>
      </w:r>
      <w:r w:rsidR="004631B2">
        <w:rPr>
          <w:rFonts w:ascii="Times New Roman" w:hAnsi="Times New Roman"/>
          <w:spacing w:val="-2"/>
          <w:sz w:val="16"/>
        </w:rPr>
        <w:t>I</w:t>
      </w:r>
      <w:r w:rsidR="0031690C">
        <w:rPr>
          <w:rFonts w:ascii="Times New Roman" w:hAnsi="Times New Roman"/>
          <w:spacing w:val="-2"/>
          <w:sz w:val="16"/>
        </w:rPr>
        <w:t xml:space="preserve"> StPO)</w:t>
      </w:r>
      <w:r w:rsidRPr="0096781E">
        <w:rPr>
          <w:rFonts w:ascii="Times New Roman" w:hAnsi="Times New Roman"/>
          <w:spacing w:val="-2"/>
          <w:sz w:val="16"/>
        </w:rPr>
        <w:t>, wobei</w:t>
      </w:r>
      <w:r>
        <w:rPr>
          <w:rFonts w:ascii="Times New Roman" w:hAnsi="Times New Roman"/>
          <w:spacing w:val="-2"/>
          <w:sz w:val="16"/>
        </w:rPr>
        <w:t xml:space="preserve"> </w:t>
      </w:r>
      <w:r w:rsidR="0031690C">
        <w:rPr>
          <w:rFonts w:ascii="Times New Roman" w:hAnsi="Times New Roman"/>
          <w:spacing w:val="-2"/>
          <w:sz w:val="16"/>
        </w:rPr>
        <w:t xml:space="preserve">nach § 114 II StPO </w:t>
      </w:r>
      <w:r>
        <w:rPr>
          <w:rFonts w:ascii="Times New Roman" w:hAnsi="Times New Roman"/>
          <w:spacing w:val="-2"/>
          <w:sz w:val="16"/>
        </w:rPr>
        <w:t>anzuführen sind:</w:t>
      </w:r>
      <w:r w:rsidRPr="0096781E">
        <w:rPr>
          <w:rFonts w:ascii="Times New Roman" w:hAnsi="Times New Roman"/>
          <w:spacing w:val="-2"/>
          <w:sz w:val="16"/>
        </w:rPr>
        <w:t xml:space="preserve"> der Beschuldigte, die Tat, </w:t>
      </w:r>
      <w:r w:rsidRPr="0096781E">
        <w:rPr>
          <w:rFonts w:ascii="Times New Roman" w:hAnsi="Times New Roman" w:cs="Times New Roman"/>
          <w:sz w:val="16"/>
          <w:szCs w:val="20"/>
          <w:lang w:bidi="x-none"/>
        </w:rPr>
        <w:t>Zeit und Ort ihrer Begehung, die</w:t>
      </w:r>
      <w:r w:rsidRPr="0096781E">
        <w:rPr>
          <w:rFonts w:ascii="Times New Roman" w:hAnsi="Times New Roman" w:cs="Times New Roman"/>
          <w:sz w:val="16"/>
          <w:lang w:bidi="x-none"/>
        </w:rPr>
        <w:t xml:space="preserve"> </w:t>
      </w:r>
      <w:r w:rsidRPr="0096781E">
        <w:rPr>
          <w:rFonts w:ascii="Times New Roman" w:hAnsi="Times New Roman" w:cs="Times New Roman"/>
          <w:sz w:val="16"/>
          <w:szCs w:val="20"/>
          <w:lang w:bidi="x-none"/>
        </w:rPr>
        <w:t>gesetzlichen Merkmale der Straftat und die anzuwendenden Strafvorschriften,</w:t>
      </w:r>
      <w:r w:rsidRPr="0096781E">
        <w:rPr>
          <w:rFonts w:ascii="Times New Roman" w:hAnsi="Times New Roman" w:cs="Times New Roman"/>
          <w:sz w:val="16"/>
          <w:lang w:bidi="x-none"/>
        </w:rPr>
        <w:t xml:space="preserve"> </w:t>
      </w:r>
      <w:r w:rsidRPr="0096781E">
        <w:rPr>
          <w:rFonts w:ascii="Times New Roman" w:hAnsi="Times New Roman" w:cs="Times New Roman"/>
          <w:sz w:val="16"/>
          <w:szCs w:val="20"/>
          <w:lang w:bidi="x-none"/>
        </w:rPr>
        <w:t>der Haftgrund sowie</w:t>
      </w:r>
      <w:r w:rsidRPr="0096781E">
        <w:rPr>
          <w:rFonts w:ascii="Times New Roman" w:hAnsi="Times New Roman" w:cs="Times New Roman"/>
          <w:sz w:val="16"/>
          <w:lang w:bidi="x-none"/>
        </w:rPr>
        <w:t xml:space="preserve"> </w:t>
      </w:r>
      <w:r w:rsidRPr="0096781E">
        <w:rPr>
          <w:rFonts w:ascii="Times New Roman" w:hAnsi="Times New Roman" w:cs="Times New Roman"/>
          <w:sz w:val="16"/>
          <w:szCs w:val="20"/>
          <w:lang w:bidi="x-none"/>
        </w:rPr>
        <w:t>die Tatsachen, aus denen sich der dringende Tatverdacht und der Haftgrund ergeben,</w:t>
      </w:r>
      <w:r w:rsidRPr="0096781E">
        <w:rPr>
          <w:rFonts w:ascii="Times New Roman" w:hAnsi="Times New Roman" w:cs="Times New Roman"/>
          <w:sz w:val="16"/>
          <w:lang w:bidi="x-none"/>
        </w:rPr>
        <w:t xml:space="preserve"> </w:t>
      </w:r>
      <w:r w:rsidRPr="0096781E">
        <w:rPr>
          <w:rFonts w:ascii="Times New Roman" w:hAnsi="Times New Roman" w:cs="Times New Roman"/>
          <w:sz w:val="16"/>
          <w:szCs w:val="20"/>
          <w:lang w:bidi="x-none"/>
        </w:rPr>
        <w:t>soweit nicht dadurch die Staatssicherheit gefährdet wird</w:t>
      </w:r>
      <w:r>
        <w:rPr>
          <w:rFonts w:ascii="Times New Roman" w:hAnsi="Times New Roman" w:cs="Times New Roman"/>
          <w:sz w:val="16"/>
          <w:szCs w:val="20"/>
          <w:lang w:bidi="x-none"/>
        </w:rPr>
        <w:t>.</w:t>
      </w:r>
    </w:p>
    <w:p w14:paraId="49B99CA1" w14:textId="5BA19685" w:rsidR="00F74749" w:rsidRPr="0096781E" w:rsidRDefault="00F74749" w:rsidP="00211534">
      <w:pPr>
        <w:widowControl/>
        <w:tabs>
          <w:tab w:val="left" w:pos="-720"/>
          <w:tab w:val="left" w:pos="288"/>
          <w:tab w:val="left" w:pos="864"/>
          <w:tab w:val="left" w:pos="1116"/>
          <w:tab w:val="left" w:pos="1404"/>
          <w:tab w:val="left" w:pos="1692"/>
          <w:tab w:val="left" w:pos="1980"/>
          <w:tab w:val="left" w:pos="2268"/>
          <w:tab w:val="left" w:pos="2880"/>
        </w:tabs>
        <w:spacing w:before="120" w:line="228" w:lineRule="auto"/>
        <w:ind w:left="284" w:hanging="284"/>
        <w:jc w:val="both"/>
        <w:rPr>
          <w:rFonts w:ascii="Times New Roman" w:hAnsi="Times New Roman"/>
          <w:b/>
          <w:spacing w:val="-2"/>
          <w:sz w:val="16"/>
        </w:rPr>
      </w:pPr>
      <w:r w:rsidRPr="0096781E">
        <w:rPr>
          <w:rFonts w:ascii="Times New Roman" w:hAnsi="Times New Roman"/>
          <w:b/>
          <w:spacing w:val="-2"/>
          <w:sz w:val="16"/>
        </w:rPr>
        <w:t xml:space="preserve">IV. Rechtsschutz: </w:t>
      </w:r>
      <w:r w:rsidRPr="0096781E">
        <w:rPr>
          <w:rFonts w:ascii="Times New Roman" w:hAnsi="Times New Roman"/>
          <w:spacing w:val="-2"/>
          <w:sz w:val="16"/>
        </w:rPr>
        <w:t xml:space="preserve">Dem Betroffenen stehen </w:t>
      </w:r>
      <w:proofErr w:type="spellStart"/>
      <w:r w:rsidRPr="0096781E">
        <w:rPr>
          <w:rFonts w:ascii="Times New Roman" w:hAnsi="Times New Roman"/>
          <w:spacing w:val="-2"/>
          <w:sz w:val="16"/>
        </w:rPr>
        <w:t>grds</w:t>
      </w:r>
      <w:proofErr w:type="spellEnd"/>
      <w:r w:rsidRPr="0096781E">
        <w:rPr>
          <w:rFonts w:ascii="Times New Roman" w:hAnsi="Times New Roman"/>
          <w:spacing w:val="-2"/>
          <w:sz w:val="16"/>
        </w:rPr>
        <w:t>. zwei verschiedene Möglichkeiten des Rechtsschutzes gegen den Haftbefehl zu</w:t>
      </w:r>
      <w:r>
        <w:rPr>
          <w:rFonts w:ascii="Times New Roman" w:hAnsi="Times New Roman"/>
          <w:spacing w:val="-2"/>
          <w:sz w:val="16"/>
        </w:rPr>
        <w:t>r Verfügung</w:t>
      </w:r>
      <w:r w:rsidRPr="0096781E">
        <w:rPr>
          <w:rFonts w:ascii="Times New Roman" w:hAnsi="Times New Roman"/>
          <w:spacing w:val="-2"/>
          <w:sz w:val="16"/>
        </w:rPr>
        <w:t>: die Haftbeschwerde, §§ 304 ff. StPO, und der Antrag auf Haftprüfung, § 117 I StPO</w:t>
      </w:r>
      <w:r w:rsidR="004F2C68">
        <w:rPr>
          <w:rFonts w:ascii="Times New Roman" w:hAnsi="Times New Roman"/>
          <w:spacing w:val="-2"/>
          <w:sz w:val="16"/>
        </w:rPr>
        <w:t>, wobei nur die Haftbeschwerde gem. §§</w:t>
      </w:r>
      <w:r w:rsidR="00BE4805">
        <w:rPr>
          <w:rFonts w:ascii="Times New Roman" w:hAnsi="Times New Roman"/>
          <w:spacing w:val="-2"/>
          <w:sz w:val="16"/>
        </w:rPr>
        <w:t> </w:t>
      </w:r>
      <w:r w:rsidR="004F2C68">
        <w:rPr>
          <w:rFonts w:ascii="Times New Roman" w:hAnsi="Times New Roman"/>
          <w:spacing w:val="-2"/>
          <w:sz w:val="16"/>
        </w:rPr>
        <w:t>304 ff. StPO als Rechtsmittel Devolutiveffekt hat.</w:t>
      </w:r>
      <w:r w:rsidR="00D20F73">
        <w:rPr>
          <w:rFonts w:ascii="Times New Roman" w:hAnsi="Times New Roman"/>
          <w:spacing w:val="-2"/>
          <w:sz w:val="16"/>
        </w:rPr>
        <w:t xml:space="preserve"> </w:t>
      </w:r>
      <w:r w:rsidR="00BE4805">
        <w:rPr>
          <w:rFonts w:ascii="Times New Roman" w:hAnsi="Times New Roman"/>
          <w:spacing w:val="-2"/>
          <w:sz w:val="16"/>
        </w:rPr>
        <w:t>Die Beschwerde</w:t>
      </w:r>
      <w:r w:rsidR="0094650F">
        <w:rPr>
          <w:rFonts w:ascii="Times New Roman" w:hAnsi="Times New Roman"/>
          <w:spacing w:val="-2"/>
          <w:sz w:val="16"/>
        </w:rPr>
        <w:t xml:space="preserve"> darf nach §</w:t>
      </w:r>
      <w:r w:rsidR="0031690C">
        <w:rPr>
          <w:rFonts w:ascii="Times New Roman" w:hAnsi="Times New Roman"/>
          <w:spacing w:val="-2"/>
          <w:sz w:val="16"/>
        </w:rPr>
        <w:t> </w:t>
      </w:r>
      <w:r w:rsidR="0094650F">
        <w:rPr>
          <w:rFonts w:ascii="Times New Roman" w:hAnsi="Times New Roman"/>
          <w:spacing w:val="-2"/>
          <w:sz w:val="16"/>
        </w:rPr>
        <w:t xml:space="preserve">117 II StPO nicht neben einem Antrag auf Haftprüfung eingelegt werden. </w:t>
      </w:r>
      <w:r w:rsidR="001211DA">
        <w:rPr>
          <w:rFonts w:ascii="Times New Roman" w:hAnsi="Times New Roman"/>
          <w:spacing w:val="-2"/>
          <w:sz w:val="16"/>
        </w:rPr>
        <w:t>N</w:t>
      </w:r>
      <w:r w:rsidRPr="0096781E">
        <w:rPr>
          <w:rFonts w:ascii="Times New Roman" w:hAnsi="Times New Roman"/>
          <w:spacing w:val="-2"/>
          <w:sz w:val="16"/>
        </w:rPr>
        <w:t xml:space="preserve">ach sechsmonatiger U-Haft erfolgt </w:t>
      </w:r>
      <w:r w:rsidR="004F2C68" w:rsidRPr="0096781E">
        <w:rPr>
          <w:rFonts w:ascii="Times New Roman" w:hAnsi="Times New Roman"/>
          <w:spacing w:val="-2"/>
          <w:sz w:val="16"/>
        </w:rPr>
        <w:t xml:space="preserve">durch das </w:t>
      </w:r>
      <w:r w:rsidR="004F2C68">
        <w:rPr>
          <w:rFonts w:ascii="Times New Roman" w:hAnsi="Times New Roman"/>
          <w:spacing w:val="-2"/>
          <w:sz w:val="16"/>
        </w:rPr>
        <w:t xml:space="preserve">zuständige </w:t>
      </w:r>
      <w:r w:rsidR="004F2C68" w:rsidRPr="0096781E">
        <w:rPr>
          <w:rFonts w:ascii="Times New Roman" w:hAnsi="Times New Roman"/>
          <w:spacing w:val="-2"/>
          <w:sz w:val="16"/>
        </w:rPr>
        <w:t xml:space="preserve">OLG </w:t>
      </w:r>
      <w:r w:rsidRPr="0096781E">
        <w:rPr>
          <w:rFonts w:ascii="Times New Roman" w:hAnsi="Times New Roman"/>
          <w:spacing w:val="-2"/>
          <w:sz w:val="16"/>
        </w:rPr>
        <w:t xml:space="preserve">eine </w:t>
      </w:r>
      <w:r w:rsidR="004F2C68">
        <w:rPr>
          <w:rFonts w:ascii="Times New Roman" w:hAnsi="Times New Roman"/>
          <w:spacing w:val="-2"/>
          <w:sz w:val="16"/>
        </w:rPr>
        <w:t>Haftprüfung</w:t>
      </w:r>
      <w:r w:rsidR="004F2C68" w:rsidRPr="0096781E">
        <w:rPr>
          <w:rFonts w:ascii="Times New Roman" w:hAnsi="Times New Roman"/>
          <w:spacing w:val="-2"/>
          <w:sz w:val="16"/>
        </w:rPr>
        <w:t xml:space="preserve"> </w:t>
      </w:r>
      <w:r w:rsidRPr="0096781E">
        <w:rPr>
          <w:rFonts w:ascii="Times New Roman" w:hAnsi="Times New Roman"/>
          <w:spacing w:val="-2"/>
          <w:sz w:val="16"/>
        </w:rPr>
        <w:t>von Amts wegen, § 121 StPO.</w:t>
      </w:r>
    </w:p>
    <w:p w14:paraId="70BAB802" w14:textId="47F0A754" w:rsidR="00F74749" w:rsidRPr="0096781E" w:rsidRDefault="00F74749" w:rsidP="00211534">
      <w:pPr>
        <w:widowControl/>
        <w:tabs>
          <w:tab w:val="left" w:pos="-720"/>
          <w:tab w:val="left" w:pos="284"/>
          <w:tab w:val="left" w:pos="864"/>
          <w:tab w:val="left" w:pos="1116"/>
          <w:tab w:val="left" w:pos="1404"/>
          <w:tab w:val="left" w:pos="1692"/>
          <w:tab w:val="left" w:pos="1980"/>
          <w:tab w:val="left" w:pos="2268"/>
          <w:tab w:val="left" w:pos="2880"/>
        </w:tabs>
        <w:spacing w:before="120" w:line="228" w:lineRule="auto"/>
        <w:ind w:left="284" w:hanging="284"/>
        <w:jc w:val="both"/>
        <w:rPr>
          <w:rFonts w:ascii="Times New Roman" w:hAnsi="Times New Roman"/>
          <w:spacing w:val="-2"/>
          <w:sz w:val="16"/>
        </w:rPr>
      </w:pPr>
      <w:r w:rsidRPr="0096781E">
        <w:rPr>
          <w:rFonts w:ascii="Times New Roman" w:hAnsi="Times New Roman"/>
          <w:b/>
          <w:spacing w:val="-2"/>
          <w:sz w:val="16"/>
        </w:rPr>
        <w:t xml:space="preserve">V. </w:t>
      </w:r>
      <w:r>
        <w:rPr>
          <w:rFonts w:ascii="Times New Roman" w:hAnsi="Times New Roman"/>
          <w:b/>
          <w:spacing w:val="-2"/>
          <w:sz w:val="16"/>
        </w:rPr>
        <w:tab/>
      </w:r>
      <w:r w:rsidRPr="0096781E">
        <w:rPr>
          <w:rFonts w:ascii="Times New Roman" w:hAnsi="Times New Roman"/>
          <w:b/>
          <w:spacing w:val="-2"/>
          <w:sz w:val="16"/>
        </w:rPr>
        <w:t xml:space="preserve">Vollzug: </w:t>
      </w:r>
      <w:r w:rsidR="00A318AA">
        <w:rPr>
          <w:rFonts w:ascii="Times New Roman" w:hAnsi="Times New Roman"/>
          <w:spacing w:val="-2"/>
          <w:sz w:val="16"/>
        </w:rPr>
        <w:t xml:space="preserve">Auch nach der Föderalismusreform 2006 blieb die Gesetzgebungskompetenz </w:t>
      </w:r>
      <w:r w:rsidR="00B46520">
        <w:rPr>
          <w:rFonts w:ascii="Times New Roman" w:hAnsi="Times New Roman"/>
          <w:spacing w:val="-2"/>
          <w:sz w:val="16"/>
        </w:rPr>
        <w:t xml:space="preserve">für das gerichtliche Verfahren </w:t>
      </w:r>
      <w:r w:rsidR="00A318AA">
        <w:rPr>
          <w:rFonts w:ascii="Times New Roman" w:hAnsi="Times New Roman"/>
          <w:spacing w:val="-2"/>
          <w:sz w:val="16"/>
        </w:rPr>
        <w:t>beim Bund</w:t>
      </w:r>
      <w:r w:rsidR="00B46520">
        <w:rPr>
          <w:rFonts w:ascii="Times New Roman" w:hAnsi="Times New Roman"/>
          <w:spacing w:val="-2"/>
          <w:sz w:val="16"/>
        </w:rPr>
        <w:t xml:space="preserve">, daher enthalten </w:t>
      </w:r>
      <w:r w:rsidRPr="0096781E">
        <w:rPr>
          <w:rFonts w:ascii="Times New Roman" w:hAnsi="Times New Roman"/>
          <w:spacing w:val="-2"/>
          <w:sz w:val="16"/>
        </w:rPr>
        <w:t xml:space="preserve">§ 119 StPO </w:t>
      </w:r>
      <w:r w:rsidR="00A318AA">
        <w:rPr>
          <w:rFonts w:ascii="Times New Roman" w:hAnsi="Times New Roman"/>
          <w:spacing w:val="-2"/>
          <w:sz w:val="16"/>
        </w:rPr>
        <w:t>für Erwachsene und §</w:t>
      </w:r>
      <w:r w:rsidR="00A7231F">
        <w:rPr>
          <w:rFonts w:ascii="Times New Roman" w:hAnsi="Times New Roman"/>
          <w:spacing w:val="-2"/>
          <w:sz w:val="16"/>
        </w:rPr>
        <w:t> </w:t>
      </w:r>
      <w:r w:rsidR="00A318AA">
        <w:rPr>
          <w:rFonts w:ascii="Times New Roman" w:hAnsi="Times New Roman"/>
          <w:spacing w:val="-2"/>
          <w:sz w:val="16"/>
        </w:rPr>
        <w:t xml:space="preserve">89c </w:t>
      </w:r>
      <w:proofErr w:type="gramStart"/>
      <w:r w:rsidR="00A318AA">
        <w:rPr>
          <w:rFonts w:ascii="Times New Roman" w:hAnsi="Times New Roman"/>
          <w:spacing w:val="-2"/>
          <w:sz w:val="16"/>
        </w:rPr>
        <w:t>JGG Regelungen</w:t>
      </w:r>
      <w:proofErr w:type="gramEnd"/>
      <w:r w:rsidR="00A318AA">
        <w:rPr>
          <w:rFonts w:ascii="Times New Roman" w:hAnsi="Times New Roman"/>
          <w:spacing w:val="-2"/>
          <w:sz w:val="16"/>
        </w:rPr>
        <w:t xml:space="preserve"> über Fragen zum „Ob“ der U-Haft sowie über die Einhaltung des Zweckes der U-Haft, nämlich der Sicherung des gerichtlichen Verfahrens. Regelungen zum Vollzug, also zum „Wie“ der U-Haft finden sich in den</w:t>
      </w:r>
      <w:r w:rsidRPr="0096781E">
        <w:rPr>
          <w:rFonts w:ascii="Times New Roman" w:hAnsi="Times New Roman"/>
          <w:spacing w:val="-2"/>
          <w:sz w:val="16"/>
        </w:rPr>
        <w:t xml:space="preserve"> </w:t>
      </w:r>
      <w:r w:rsidR="00624927">
        <w:rPr>
          <w:rFonts w:ascii="Times New Roman" w:hAnsi="Times New Roman"/>
          <w:spacing w:val="-2"/>
          <w:sz w:val="16"/>
        </w:rPr>
        <w:t>Justizvollzugsgesetze</w:t>
      </w:r>
      <w:r w:rsidR="00A318AA">
        <w:rPr>
          <w:rFonts w:ascii="Times New Roman" w:hAnsi="Times New Roman"/>
          <w:spacing w:val="-2"/>
          <w:sz w:val="16"/>
        </w:rPr>
        <w:t>n</w:t>
      </w:r>
      <w:r w:rsidR="00624927">
        <w:rPr>
          <w:rFonts w:ascii="Times New Roman" w:hAnsi="Times New Roman"/>
          <w:spacing w:val="-2"/>
          <w:sz w:val="16"/>
        </w:rPr>
        <w:t xml:space="preserve"> der Länder</w:t>
      </w:r>
      <w:r w:rsidR="00A318AA">
        <w:rPr>
          <w:rFonts w:ascii="Times New Roman" w:hAnsi="Times New Roman"/>
          <w:spacing w:val="-2"/>
          <w:sz w:val="16"/>
        </w:rPr>
        <w:t>.</w:t>
      </w:r>
      <w:r w:rsidRPr="0096781E">
        <w:rPr>
          <w:rFonts w:ascii="Times New Roman" w:hAnsi="Times New Roman"/>
          <w:spacing w:val="-2"/>
          <w:sz w:val="16"/>
        </w:rPr>
        <w:t xml:space="preserve"> </w:t>
      </w:r>
    </w:p>
    <w:p w14:paraId="463217AB" w14:textId="77777777" w:rsidR="00F74749" w:rsidRPr="0096781E" w:rsidRDefault="00F74749" w:rsidP="00F74749">
      <w:pPr>
        <w:widowControl/>
        <w:tabs>
          <w:tab w:val="left" w:pos="-720"/>
          <w:tab w:val="left" w:pos="288"/>
          <w:tab w:val="left" w:pos="567"/>
          <w:tab w:val="left" w:pos="864"/>
          <w:tab w:val="left" w:pos="1116"/>
          <w:tab w:val="left" w:pos="1404"/>
          <w:tab w:val="left" w:pos="1692"/>
          <w:tab w:val="left" w:pos="1980"/>
          <w:tab w:val="left" w:pos="2268"/>
          <w:tab w:val="left" w:pos="2880"/>
        </w:tabs>
        <w:jc w:val="both"/>
        <w:rPr>
          <w:rFonts w:ascii="Times New Roman" w:hAnsi="Times New Roman"/>
          <w:b/>
          <w:spacing w:val="-2"/>
          <w:sz w:val="16"/>
        </w:rPr>
      </w:pPr>
    </w:p>
    <w:p w14:paraId="0AC2C72D" w14:textId="3AB6D94D" w:rsidR="00F74749" w:rsidRPr="00101729" w:rsidRDefault="00F74749" w:rsidP="0028253E">
      <w:pPr>
        <w:widowControl/>
        <w:tabs>
          <w:tab w:val="left" w:pos="-720"/>
          <w:tab w:val="left" w:pos="288"/>
          <w:tab w:val="left" w:pos="567"/>
          <w:tab w:val="left" w:pos="864"/>
          <w:tab w:val="left" w:pos="1116"/>
          <w:tab w:val="left" w:pos="1404"/>
          <w:tab w:val="left" w:pos="1692"/>
          <w:tab w:val="left" w:pos="1980"/>
          <w:tab w:val="left" w:pos="2268"/>
          <w:tab w:val="left" w:pos="2880"/>
        </w:tabs>
        <w:jc w:val="both"/>
        <w:rPr>
          <w:rFonts w:ascii="Times New Roman" w:hAnsi="Times New Roman"/>
          <w:spacing w:val="-2"/>
          <w:sz w:val="13"/>
          <w:szCs w:val="13"/>
        </w:rPr>
      </w:pPr>
      <w:r w:rsidRPr="00101729">
        <w:rPr>
          <w:rFonts w:ascii="Times New Roman" w:hAnsi="Times New Roman"/>
          <w:b/>
          <w:spacing w:val="-2"/>
          <w:sz w:val="13"/>
          <w:szCs w:val="13"/>
        </w:rPr>
        <w:t>Literatur/Lehrbücher:</w:t>
      </w:r>
      <w:r w:rsidRPr="00101729">
        <w:rPr>
          <w:rFonts w:ascii="Times New Roman" w:hAnsi="Times New Roman"/>
          <w:b/>
          <w:spacing w:val="-2"/>
          <w:sz w:val="13"/>
          <w:szCs w:val="13"/>
        </w:rPr>
        <w:tab/>
      </w:r>
      <w:r w:rsidR="0088583B" w:rsidRPr="00101729">
        <w:rPr>
          <w:rFonts w:ascii="Times New Roman" w:hAnsi="Times New Roman"/>
          <w:b/>
          <w:spacing w:val="-2"/>
          <w:sz w:val="13"/>
          <w:szCs w:val="13"/>
        </w:rPr>
        <w:tab/>
      </w:r>
      <w:r w:rsidR="00797337" w:rsidRPr="00101729">
        <w:rPr>
          <w:rFonts w:ascii="Times New Roman" w:hAnsi="Times New Roman"/>
          <w:i/>
          <w:spacing w:val="-2"/>
          <w:sz w:val="13"/>
          <w:szCs w:val="13"/>
        </w:rPr>
        <w:t>Heinrich/Reinbacher</w:t>
      </w:r>
      <w:r w:rsidR="00797337" w:rsidRPr="00101729">
        <w:rPr>
          <w:rFonts w:ascii="Times New Roman" w:hAnsi="Times New Roman"/>
          <w:spacing w:val="-2"/>
          <w:sz w:val="13"/>
          <w:szCs w:val="13"/>
        </w:rPr>
        <w:t xml:space="preserve">, Examinatorium Strafprozessrecht, </w:t>
      </w:r>
      <w:r w:rsidR="00A318AA">
        <w:rPr>
          <w:rFonts w:ascii="Times New Roman" w:hAnsi="Times New Roman"/>
          <w:spacing w:val="-2"/>
          <w:sz w:val="13"/>
          <w:szCs w:val="13"/>
        </w:rPr>
        <w:t>4</w:t>
      </w:r>
      <w:r w:rsidR="00D10CB0" w:rsidRPr="00101729">
        <w:rPr>
          <w:rFonts w:ascii="Times New Roman" w:hAnsi="Times New Roman"/>
          <w:spacing w:val="-2"/>
          <w:sz w:val="13"/>
          <w:szCs w:val="13"/>
        </w:rPr>
        <w:t>. Auflage 20</w:t>
      </w:r>
      <w:r w:rsidR="005A2A74">
        <w:rPr>
          <w:rFonts w:ascii="Times New Roman" w:hAnsi="Times New Roman"/>
          <w:spacing w:val="-2"/>
          <w:sz w:val="13"/>
          <w:szCs w:val="13"/>
        </w:rPr>
        <w:t>2</w:t>
      </w:r>
      <w:r w:rsidR="00A318AA">
        <w:rPr>
          <w:rFonts w:ascii="Times New Roman" w:hAnsi="Times New Roman"/>
          <w:spacing w:val="-2"/>
          <w:sz w:val="13"/>
          <w:szCs w:val="13"/>
        </w:rPr>
        <w:t>3</w:t>
      </w:r>
      <w:r w:rsidR="00D10CB0" w:rsidRPr="00101729">
        <w:rPr>
          <w:rFonts w:ascii="Times New Roman" w:hAnsi="Times New Roman"/>
          <w:spacing w:val="-2"/>
          <w:sz w:val="13"/>
          <w:szCs w:val="13"/>
        </w:rPr>
        <w:t xml:space="preserve">, </w:t>
      </w:r>
      <w:r w:rsidR="00797337" w:rsidRPr="00101729">
        <w:rPr>
          <w:rFonts w:ascii="Times New Roman" w:hAnsi="Times New Roman"/>
          <w:spacing w:val="-2"/>
          <w:sz w:val="13"/>
          <w:szCs w:val="13"/>
        </w:rPr>
        <w:t>Problem</w:t>
      </w:r>
      <w:r w:rsidR="0031690C">
        <w:rPr>
          <w:rFonts w:ascii="Times New Roman" w:hAnsi="Times New Roman"/>
          <w:spacing w:val="-2"/>
          <w:sz w:val="13"/>
          <w:szCs w:val="13"/>
        </w:rPr>
        <w:t> </w:t>
      </w:r>
      <w:r w:rsidR="00797337" w:rsidRPr="00101729">
        <w:rPr>
          <w:rFonts w:ascii="Times New Roman" w:hAnsi="Times New Roman"/>
          <w:spacing w:val="-2"/>
          <w:sz w:val="13"/>
          <w:szCs w:val="13"/>
        </w:rPr>
        <w:t>13.</w:t>
      </w:r>
    </w:p>
    <w:p w14:paraId="6D5FCAD5" w14:textId="47D2AE78" w:rsidR="00F74749" w:rsidRPr="00101729" w:rsidRDefault="00F74749" w:rsidP="0028253E">
      <w:pPr>
        <w:widowControl/>
        <w:tabs>
          <w:tab w:val="left" w:pos="-720"/>
          <w:tab w:val="left" w:pos="288"/>
          <w:tab w:val="left" w:pos="567"/>
          <w:tab w:val="left" w:pos="864"/>
          <w:tab w:val="left" w:pos="1116"/>
          <w:tab w:val="left" w:pos="1404"/>
          <w:tab w:val="left" w:pos="1701"/>
          <w:tab w:val="left" w:pos="2268"/>
          <w:tab w:val="left" w:pos="2880"/>
        </w:tabs>
        <w:ind w:left="1701" w:hanging="1701"/>
        <w:jc w:val="both"/>
        <w:rPr>
          <w:rFonts w:ascii="Times New Roman" w:hAnsi="Times New Roman"/>
          <w:spacing w:val="-2"/>
          <w:sz w:val="13"/>
          <w:szCs w:val="13"/>
        </w:rPr>
      </w:pPr>
      <w:r w:rsidRPr="00101729">
        <w:rPr>
          <w:rFonts w:ascii="Times New Roman" w:hAnsi="Times New Roman"/>
          <w:b/>
          <w:spacing w:val="-2"/>
          <w:sz w:val="13"/>
          <w:szCs w:val="13"/>
        </w:rPr>
        <w:t>Literatur/Aufsätze:</w:t>
      </w:r>
      <w:r w:rsidR="00A45FDE">
        <w:rPr>
          <w:rFonts w:ascii="Times New Roman" w:hAnsi="Times New Roman"/>
          <w:b/>
          <w:spacing w:val="-2"/>
          <w:sz w:val="13"/>
          <w:szCs w:val="13"/>
        </w:rPr>
        <w:tab/>
      </w:r>
      <w:r w:rsidR="00A45FDE">
        <w:rPr>
          <w:rFonts w:ascii="Times New Roman" w:hAnsi="Times New Roman"/>
          <w:b/>
          <w:spacing w:val="-2"/>
          <w:sz w:val="13"/>
          <w:szCs w:val="13"/>
        </w:rPr>
        <w:tab/>
      </w:r>
      <w:r w:rsidR="00A45FDE">
        <w:rPr>
          <w:rFonts w:ascii="Times New Roman" w:hAnsi="Times New Roman"/>
          <w:b/>
          <w:spacing w:val="-2"/>
          <w:sz w:val="13"/>
          <w:szCs w:val="13"/>
        </w:rPr>
        <w:tab/>
      </w:r>
      <w:r w:rsidR="00D35A7E" w:rsidRPr="00101729">
        <w:rPr>
          <w:rFonts w:ascii="Times New Roman" w:hAnsi="Times New Roman"/>
          <w:i/>
          <w:spacing w:val="-2"/>
          <w:sz w:val="13"/>
          <w:szCs w:val="13"/>
        </w:rPr>
        <w:t>Graf</w:t>
      </w:r>
      <w:r w:rsidR="00D35A7E" w:rsidRPr="00101729">
        <w:rPr>
          <w:rFonts w:ascii="Times New Roman" w:hAnsi="Times New Roman"/>
          <w:spacing w:val="-2"/>
          <w:sz w:val="13"/>
          <w:szCs w:val="13"/>
        </w:rPr>
        <w:t xml:space="preserve">, Die Untersuchungshaft, JA 2012, 262; </w:t>
      </w:r>
      <w:r w:rsidRPr="00101729">
        <w:rPr>
          <w:rFonts w:ascii="Times New Roman" w:hAnsi="Times New Roman"/>
          <w:i/>
          <w:spacing w:val="-2"/>
          <w:sz w:val="13"/>
          <w:szCs w:val="13"/>
        </w:rPr>
        <w:t>v.</w:t>
      </w:r>
      <w:r w:rsidR="00D35A7E" w:rsidRPr="00101729">
        <w:rPr>
          <w:rFonts w:ascii="Times New Roman" w:hAnsi="Times New Roman"/>
          <w:i/>
          <w:spacing w:val="-2"/>
          <w:sz w:val="13"/>
          <w:szCs w:val="13"/>
        </w:rPr>
        <w:t xml:space="preserve"> </w:t>
      </w:r>
      <w:proofErr w:type="spellStart"/>
      <w:r w:rsidRPr="00101729">
        <w:rPr>
          <w:rFonts w:ascii="Times New Roman" w:hAnsi="Times New Roman"/>
          <w:i/>
          <w:spacing w:val="-2"/>
          <w:sz w:val="13"/>
          <w:szCs w:val="13"/>
        </w:rPr>
        <w:t>Heintschel-Heinegg</w:t>
      </w:r>
      <w:proofErr w:type="spellEnd"/>
      <w:r w:rsidRPr="00101729">
        <w:rPr>
          <w:rFonts w:ascii="Times New Roman" w:hAnsi="Times New Roman"/>
          <w:spacing w:val="-2"/>
          <w:sz w:val="13"/>
          <w:szCs w:val="13"/>
        </w:rPr>
        <w:t xml:space="preserve">, Untersuchungshaft und Beschleunigungsgebot, JA 2007, 821; </w:t>
      </w:r>
      <w:r w:rsidRPr="00101729">
        <w:rPr>
          <w:rFonts w:ascii="Times New Roman" w:hAnsi="Times New Roman"/>
          <w:i/>
          <w:spacing w:val="-2"/>
          <w:sz w:val="13"/>
          <w:szCs w:val="13"/>
        </w:rPr>
        <w:t>Huber</w:t>
      </w:r>
      <w:r w:rsidRPr="00101729">
        <w:rPr>
          <w:rFonts w:ascii="Times New Roman" w:hAnsi="Times New Roman"/>
          <w:spacing w:val="-2"/>
          <w:sz w:val="13"/>
          <w:szCs w:val="13"/>
        </w:rPr>
        <w:t xml:space="preserve">, </w:t>
      </w:r>
      <w:proofErr w:type="spellStart"/>
      <w:r w:rsidRPr="00101729">
        <w:rPr>
          <w:rFonts w:ascii="Times New Roman" w:hAnsi="Times New Roman"/>
          <w:spacing w:val="-2"/>
          <w:sz w:val="13"/>
          <w:szCs w:val="13"/>
        </w:rPr>
        <w:t>Aus</w:t>
      </w:r>
      <w:proofErr w:type="spellEnd"/>
      <w:r w:rsidRPr="00101729">
        <w:rPr>
          <w:rFonts w:ascii="Times New Roman" w:hAnsi="Times New Roman"/>
          <w:spacing w:val="-2"/>
          <w:sz w:val="13"/>
          <w:szCs w:val="13"/>
        </w:rPr>
        <w:t xml:space="preserve"> der Praxis: Der Richter des nächsten Amtsgerichts oder: Ostern hinter Gittern, </w:t>
      </w:r>
      <w:proofErr w:type="spellStart"/>
      <w:r w:rsidRPr="00101729">
        <w:rPr>
          <w:rFonts w:ascii="Times New Roman" w:hAnsi="Times New Roman"/>
          <w:spacing w:val="-2"/>
          <w:sz w:val="13"/>
          <w:szCs w:val="13"/>
        </w:rPr>
        <w:t>JuS</w:t>
      </w:r>
      <w:proofErr w:type="spellEnd"/>
      <w:r w:rsidRPr="00101729">
        <w:rPr>
          <w:rFonts w:ascii="Times New Roman" w:hAnsi="Times New Roman"/>
          <w:spacing w:val="-2"/>
          <w:sz w:val="13"/>
          <w:szCs w:val="13"/>
        </w:rPr>
        <w:t xml:space="preserve"> 2006, 322; </w:t>
      </w:r>
      <w:proofErr w:type="spellStart"/>
      <w:r w:rsidRPr="00101729">
        <w:rPr>
          <w:rFonts w:ascii="Times New Roman" w:hAnsi="Times New Roman"/>
          <w:i/>
          <w:spacing w:val="-2"/>
          <w:sz w:val="13"/>
          <w:szCs w:val="13"/>
        </w:rPr>
        <w:t>ders</w:t>
      </w:r>
      <w:proofErr w:type="spellEnd"/>
      <w:r w:rsidRPr="00101729">
        <w:rPr>
          <w:rFonts w:ascii="Times New Roman" w:hAnsi="Times New Roman"/>
          <w:i/>
          <w:spacing w:val="-2"/>
          <w:sz w:val="13"/>
          <w:szCs w:val="13"/>
        </w:rPr>
        <w:t>.</w:t>
      </w:r>
      <w:r w:rsidRPr="00101729">
        <w:rPr>
          <w:rFonts w:ascii="Times New Roman" w:hAnsi="Times New Roman"/>
          <w:spacing w:val="-2"/>
          <w:sz w:val="13"/>
          <w:szCs w:val="13"/>
        </w:rPr>
        <w:t xml:space="preserve">, Grundwissen – Strafprozessrecht: Die Anordnung der Untersuchungshaft, </w:t>
      </w:r>
      <w:proofErr w:type="spellStart"/>
      <w:r w:rsidRPr="00101729">
        <w:rPr>
          <w:rFonts w:ascii="Times New Roman" w:hAnsi="Times New Roman"/>
          <w:spacing w:val="-2"/>
          <w:sz w:val="13"/>
          <w:szCs w:val="13"/>
        </w:rPr>
        <w:t>JuS</w:t>
      </w:r>
      <w:proofErr w:type="spellEnd"/>
      <w:r w:rsidRPr="00101729">
        <w:rPr>
          <w:rFonts w:ascii="Times New Roman" w:hAnsi="Times New Roman"/>
          <w:spacing w:val="-2"/>
          <w:sz w:val="13"/>
          <w:szCs w:val="13"/>
        </w:rPr>
        <w:t xml:space="preserve"> 2009, 994; </w:t>
      </w:r>
      <w:r w:rsidRPr="00101729">
        <w:rPr>
          <w:rFonts w:ascii="Times New Roman" w:hAnsi="Times New Roman"/>
          <w:i/>
          <w:spacing w:val="-2"/>
          <w:sz w:val="13"/>
          <w:szCs w:val="13"/>
        </w:rPr>
        <w:t>Humberg</w:t>
      </w:r>
      <w:r w:rsidRPr="00101729">
        <w:rPr>
          <w:rFonts w:ascii="Times New Roman" w:hAnsi="Times New Roman"/>
          <w:spacing w:val="-2"/>
          <w:sz w:val="13"/>
          <w:szCs w:val="13"/>
        </w:rPr>
        <w:t xml:space="preserve">, Der Haftgrund der Wiederholungsgefahr gem. § 112a StPO, JURA 2005, 376; </w:t>
      </w:r>
      <w:r w:rsidRPr="00101729">
        <w:rPr>
          <w:rFonts w:ascii="Times New Roman" w:hAnsi="Times New Roman"/>
          <w:i/>
          <w:spacing w:val="-2"/>
          <w:sz w:val="13"/>
          <w:szCs w:val="13"/>
        </w:rPr>
        <w:t>Kropp</w:t>
      </w:r>
      <w:r w:rsidRPr="00101729">
        <w:rPr>
          <w:rFonts w:ascii="Times New Roman" w:hAnsi="Times New Roman"/>
          <w:spacing w:val="-2"/>
          <w:sz w:val="13"/>
          <w:szCs w:val="13"/>
        </w:rPr>
        <w:t>, Der Haftbefehl nach § 230 StPO, JA 1998, 328;</w:t>
      </w:r>
      <w:r w:rsidRPr="00101729">
        <w:rPr>
          <w:rFonts w:ascii="Times New Roman" w:hAnsi="Times New Roman"/>
          <w:i/>
          <w:spacing w:val="-2"/>
          <w:sz w:val="13"/>
          <w:szCs w:val="13"/>
        </w:rPr>
        <w:t xml:space="preserve"> </w:t>
      </w:r>
      <w:proofErr w:type="spellStart"/>
      <w:r w:rsidRPr="00101729">
        <w:rPr>
          <w:rFonts w:ascii="Times New Roman" w:hAnsi="Times New Roman"/>
          <w:i/>
          <w:spacing w:val="-2"/>
          <w:sz w:val="13"/>
          <w:szCs w:val="13"/>
        </w:rPr>
        <w:t>ders</w:t>
      </w:r>
      <w:proofErr w:type="spellEnd"/>
      <w:r w:rsidRPr="00101729">
        <w:rPr>
          <w:rFonts w:ascii="Times New Roman" w:hAnsi="Times New Roman"/>
          <w:i/>
          <w:spacing w:val="-2"/>
          <w:sz w:val="13"/>
          <w:szCs w:val="13"/>
        </w:rPr>
        <w:t>.</w:t>
      </w:r>
      <w:r w:rsidRPr="00101729">
        <w:rPr>
          <w:rFonts w:ascii="Times New Roman" w:hAnsi="Times New Roman"/>
          <w:spacing w:val="-2"/>
          <w:sz w:val="13"/>
          <w:szCs w:val="13"/>
        </w:rPr>
        <w:t>, Der Untersuchungshaftbefehl, JA 2001, 797;</w:t>
      </w:r>
      <w:r w:rsidR="00C87EDB">
        <w:rPr>
          <w:rFonts w:ascii="Times New Roman" w:hAnsi="Times New Roman"/>
          <w:spacing w:val="-2"/>
          <w:sz w:val="13"/>
          <w:szCs w:val="13"/>
        </w:rPr>
        <w:t xml:space="preserve"> </w:t>
      </w:r>
      <w:r w:rsidR="00C87EDB" w:rsidRPr="00C87EDB">
        <w:rPr>
          <w:rFonts w:ascii="Times New Roman" w:hAnsi="Times New Roman"/>
          <w:i/>
          <w:spacing w:val="-2"/>
          <w:sz w:val="13"/>
          <w:szCs w:val="13"/>
        </w:rPr>
        <w:t>Lind</w:t>
      </w:r>
      <w:r w:rsidR="00C87EDB">
        <w:rPr>
          <w:rFonts w:ascii="Times New Roman" w:hAnsi="Times New Roman"/>
          <w:spacing w:val="-2"/>
          <w:sz w:val="13"/>
          <w:szCs w:val="13"/>
        </w:rPr>
        <w:t xml:space="preserve">, </w:t>
      </w:r>
      <w:r w:rsidR="00C87EDB" w:rsidRPr="00C87EDB">
        <w:rPr>
          <w:rFonts w:ascii="Times New Roman" w:hAnsi="Times New Roman"/>
          <w:spacing w:val="-2"/>
          <w:sz w:val="13"/>
          <w:szCs w:val="13"/>
        </w:rPr>
        <w:t>Der Haftgrund der Fluchtgefahr nach § 112 II Nr. 2 StPO in der Praxis: Zur rechtstatsächlichen Überprüfung von Fluchtprognosen</w:t>
      </w:r>
      <w:r w:rsidR="00C87EDB">
        <w:rPr>
          <w:rFonts w:ascii="Times New Roman" w:hAnsi="Times New Roman"/>
          <w:spacing w:val="-2"/>
          <w:sz w:val="13"/>
          <w:szCs w:val="13"/>
        </w:rPr>
        <w:t>, StV 2019, 118;</w:t>
      </w:r>
      <w:r w:rsidR="00C87EDB" w:rsidRPr="00C87EDB">
        <w:rPr>
          <w:rFonts w:ascii="Times New Roman" w:hAnsi="Times New Roman"/>
          <w:spacing w:val="-2"/>
          <w:sz w:val="13"/>
          <w:szCs w:val="13"/>
        </w:rPr>
        <w:t xml:space="preserve"> </w:t>
      </w:r>
      <w:r w:rsidR="00D35A7E" w:rsidRPr="00101729">
        <w:rPr>
          <w:rFonts w:ascii="Times New Roman" w:hAnsi="Times New Roman"/>
          <w:i/>
          <w:spacing w:val="-2"/>
          <w:sz w:val="13"/>
          <w:szCs w:val="13"/>
        </w:rPr>
        <w:t>Mayer/</w:t>
      </w:r>
      <w:proofErr w:type="spellStart"/>
      <w:r w:rsidR="00D35A7E" w:rsidRPr="00101729">
        <w:rPr>
          <w:rFonts w:ascii="Times New Roman" w:hAnsi="Times New Roman"/>
          <w:i/>
          <w:spacing w:val="-2"/>
          <w:sz w:val="13"/>
          <w:szCs w:val="13"/>
        </w:rPr>
        <w:t>Hunsmann</w:t>
      </w:r>
      <w:proofErr w:type="spellEnd"/>
      <w:r w:rsidR="00D35A7E" w:rsidRPr="00101729">
        <w:rPr>
          <w:rFonts w:ascii="Times New Roman" w:hAnsi="Times New Roman"/>
          <w:spacing w:val="-2"/>
          <w:sz w:val="13"/>
          <w:szCs w:val="13"/>
        </w:rPr>
        <w:t xml:space="preserve">, Leitlinien für die verfassungsrechtlich gebotene Begründungstiefe in Untersuchungshaftsachen, NStZ 2015, 325; </w:t>
      </w:r>
      <w:r w:rsidRPr="00101729">
        <w:rPr>
          <w:rFonts w:ascii="Times New Roman" w:hAnsi="Times New Roman"/>
          <w:i/>
          <w:spacing w:val="-2"/>
          <w:sz w:val="13"/>
          <w:szCs w:val="13"/>
        </w:rPr>
        <w:t>Melzer</w:t>
      </w:r>
      <w:r w:rsidRPr="00101729">
        <w:rPr>
          <w:rFonts w:ascii="Times New Roman" w:hAnsi="Times New Roman"/>
          <w:spacing w:val="-2"/>
          <w:sz w:val="13"/>
          <w:szCs w:val="13"/>
        </w:rPr>
        <w:t xml:space="preserve">, Der </w:t>
      </w:r>
      <w:proofErr w:type="spellStart"/>
      <w:r w:rsidRPr="00101729">
        <w:rPr>
          <w:rFonts w:ascii="Times New Roman" w:hAnsi="Times New Roman"/>
          <w:spacing w:val="-2"/>
          <w:sz w:val="13"/>
          <w:szCs w:val="13"/>
        </w:rPr>
        <w:t>Untersuchungshaftbefehlantrag</w:t>
      </w:r>
      <w:proofErr w:type="spellEnd"/>
      <w:r w:rsidRPr="00101729">
        <w:rPr>
          <w:rFonts w:ascii="Times New Roman" w:hAnsi="Times New Roman"/>
          <w:spacing w:val="-2"/>
          <w:sz w:val="13"/>
          <w:szCs w:val="13"/>
        </w:rPr>
        <w:t xml:space="preserve"> in Klausur und Praxis, JA 2009, 213</w:t>
      </w:r>
      <w:r w:rsidR="00D35A7E" w:rsidRPr="00101729">
        <w:rPr>
          <w:rFonts w:ascii="Times New Roman" w:hAnsi="Times New Roman"/>
          <w:spacing w:val="-2"/>
          <w:sz w:val="13"/>
          <w:szCs w:val="13"/>
        </w:rPr>
        <w:t xml:space="preserve">; </w:t>
      </w:r>
      <w:r w:rsidR="00D35A7E" w:rsidRPr="00101729">
        <w:rPr>
          <w:rFonts w:ascii="Times New Roman" w:hAnsi="Times New Roman"/>
          <w:i/>
          <w:spacing w:val="-2"/>
          <w:sz w:val="13"/>
          <w:szCs w:val="13"/>
        </w:rPr>
        <w:t>Schlothauer</w:t>
      </w:r>
      <w:r w:rsidR="00D35A7E" w:rsidRPr="00101729">
        <w:rPr>
          <w:rFonts w:ascii="Times New Roman" w:hAnsi="Times New Roman"/>
          <w:spacing w:val="-2"/>
          <w:sz w:val="13"/>
          <w:szCs w:val="13"/>
        </w:rPr>
        <w:t>, Die audio-visuelle Haftprüfung, StV 2014, 55</w:t>
      </w:r>
      <w:r w:rsidR="00ED55C8">
        <w:rPr>
          <w:rFonts w:ascii="Times New Roman" w:hAnsi="Times New Roman"/>
          <w:spacing w:val="-2"/>
          <w:sz w:val="13"/>
          <w:szCs w:val="13"/>
        </w:rPr>
        <w:t xml:space="preserve">; </w:t>
      </w:r>
      <w:proofErr w:type="spellStart"/>
      <w:r w:rsidR="00ED55C8" w:rsidRPr="00211534">
        <w:rPr>
          <w:rFonts w:ascii="Times New Roman" w:hAnsi="Times New Roman"/>
          <w:i/>
          <w:spacing w:val="-2"/>
          <w:sz w:val="13"/>
          <w:szCs w:val="13"/>
        </w:rPr>
        <w:t>Ullenboom</w:t>
      </w:r>
      <w:proofErr w:type="spellEnd"/>
      <w:r w:rsidR="00ED55C8">
        <w:rPr>
          <w:rFonts w:ascii="Times New Roman" w:hAnsi="Times New Roman"/>
          <w:spacing w:val="-2"/>
          <w:sz w:val="13"/>
          <w:szCs w:val="13"/>
        </w:rPr>
        <w:t xml:space="preserve">, </w:t>
      </w:r>
      <w:r w:rsidR="00ED55C8" w:rsidRPr="00ED55C8">
        <w:rPr>
          <w:rFonts w:ascii="Times New Roman" w:hAnsi="Times New Roman"/>
          <w:spacing w:val="-2"/>
          <w:sz w:val="13"/>
          <w:szCs w:val="13"/>
        </w:rPr>
        <w:t>Untersuc</w:t>
      </w:r>
      <w:r w:rsidR="00ED55C8">
        <w:rPr>
          <w:rFonts w:ascii="Times New Roman" w:hAnsi="Times New Roman"/>
          <w:spacing w:val="-2"/>
          <w:sz w:val="13"/>
          <w:szCs w:val="13"/>
        </w:rPr>
        <w:t xml:space="preserve">hungs- oder Sitzungshaftbefehl? – Die </w:t>
      </w:r>
      <w:r w:rsidR="00ED55C8" w:rsidRPr="00ED55C8">
        <w:rPr>
          <w:rFonts w:ascii="Times New Roman" w:hAnsi="Times New Roman"/>
          <w:spacing w:val="-2"/>
          <w:sz w:val="13"/>
          <w:szCs w:val="13"/>
        </w:rPr>
        <w:t>Sicherstellung der Anwesenheit eines im EU-Ausland befindlichen Angeklagten in der Hauptverhandlung</w:t>
      </w:r>
      <w:r w:rsidR="00ED55C8">
        <w:rPr>
          <w:rFonts w:ascii="Times New Roman" w:hAnsi="Times New Roman"/>
          <w:spacing w:val="-2"/>
          <w:sz w:val="13"/>
          <w:szCs w:val="13"/>
        </w:rPr>
        <w:t>, NJW 201</w:t>
      </w:r>
      <w:r w:rsidR="00A51296">
        <w:rPr>
          <w:rFonts w:ascii="Times New Roman" w:hAnsi="Times New Roman"/>
          <w:spacing w:val="-2"/>
          <w:sz w:val="13"/>
          <w:szCs w:val="13"/>
        </w:rPr>
        <w:t xml:space="preserve">8, 2671; </w:t>
      </w:r>
      <w:proofErr w:type="spellStart"/>
      <w:r w:rsidR="00A51296" w:rsidRPr="00A51296">
        <w:rPr>
          <w:rFonts w:ascii="Times New Roman" w:hAnsi="Times New Roman"/>
          <w:i/>
          <w:spacing w:val="-2"/>
          <w:sz w:val="13"/>
          <w:szCs w:val="13"/>
        </w:rPr>
        <w:t>Wieneck</w:t>
      </w:r>
      <w:proofErr w:type="spellEnd"/>
      <w:r w:rsidR="00A51296" w:rsidRPr="00A51296">
        <w:rPr>
          <w:rFonts w:ascii="Times New Roman" w:hAnsi="Times New Roman"/>
          <w:spacing w:val="-2"/>
          <w:sz w:val="13"/>
          <w:szCs w:val="13"/>
        </w:rPr>
        <w:t>, Der Haftgrund der Wiederholungsgefahr</w:t>
      </w:r>
      <w:r w:rsidR="00A51296">
        <w:rPr>
          <w:rFonts w:ascii="Times New Roman" w:hAnsi="Times New Roman"/>
          <w:spacing w:val="-2"/>
          <w:sz w:val="13"/>
          <w:szCs w:val="13"/>
        </w:rPr>
        <w:t>, NStZ 2019, 702.</w:t>
      </w:r>
    </w:p>
    <w:p w14:paraId="0EF54425" w14:textId="77777777" w:rsidR="00F74749" w:rsidRPr="00101729" w:rsidRDefault="00F74749" w:rsidP="0028253E">
      <w:pPr>
        <w:widowControl/>
        <w:tabs>
          <w:tab w:val="left" w:pos="-720"/>
          <w:tab w:val="left" w:pos="288"/>
          <w:tab w:val="left" w:pos="567"/>
          <w:tab w:val="left" w:pos="864"/>
          <w:tab w:val="left" w:pos="1116"/>
          <w:tab w:val="left" w:pos="1404"/>
          <w:tab w:val="left" w:pos="1692"/>
          <w:tab w:val="left" w:pos="1980"/>
          <w:tab w:val="left" w:pos="2268"/>
          <w:tab w:val="left" w:pos="2880"/>
        </w:tabs>
        <w:ind w:left="1980" w:hanging="1980"/>
        <w:jc w:val="both"/>
        <w:rPr>
          <w:rFonts w:ascii="Times New Roman" w:hAnsi="Times New Roman"/>
          <w:spacing w:val="-2"/>
          <w:sz w:val="13"/>
          <w:szCs w:val="13"/>
        </w:rPr>
      </w:pPr>
      <w:r w:rsidRPr="00101729">
        <w:rPr>
          <w:rFonts w:ascii="Times New Roman" w:hAnsi="Times New Roman"/>
          <w:b/>
          <w:spacing w:val="-2"/>
          <w:sz w:val="13"/>
          <w:szCs w:val="13"/>
        </w:rPr>
        <w:t>Literatur/Fälle:</w:t>
      </w:r>
      <w:r w:rsidRPr="00101729">
        <w:rPr>
          <w:rFonts w:ascii="Times New Roman" w:hAnsi="Times New Roman"/>
          <w:b/>
          <w:spacing w:val="-2"/>
          <w:sz w:val="13"/>
          <w:szCs w:val="13"/>
        </w:rPr>
        <w:tab/>
      </w:r>
      <w:r w:rsidRPr="00101729">
        <w:rPr>
          <w:rFonts w:ascii="Times New Roman" w:hAnsi="Times New Roman"/>
          <w:b/>
          <w:spacing w:val="-2"/>
          <w:sz w:val="13"/>
          <w:szCs w:val="13"/>
        </w:rPr>
        <w:tab/>
      </w:r>
      <w:r w:rsidRPr="00101729">
        <w:rPr>
          <w:rFonts w:ascii="Times New Roman" w:hAnsi="Times New Roman"/>
          <w:b/>
          <w:spacing w:val="-2"/>
          <w:sz w:val="13"/>
          <w:szCs w:val="13"/>
        </w:rPr>
        <w:tab/>
      </w:r>
      <w:r w:rsidR="00705AEC">
        <w:rPr>
          <w:rFonts w:ascii="Times New Roman" w:hAnsi="Times New Roman"/>
          <w:b/>
          <w:spacing w:val="-2"/>
          <w:sz w:val="13"/>
          <w:szCs w:val="13"/>
        </w:rPr>
        <w:tab/>
      </w:r>
      <w:r w:rsidRPr="00101729">
        <w:rPr>
          <w:rFonts w:ascii="Times New Roman" w:hAnsi="Times New Roman"/>
          <w:i/>
          <w:spacing w:val="-2"/>
          <w:sz w:val="13"/>
          <w:szCs w:val="13"/>
        </w:rPr>
        <w:t>Hellmann</w:t>
      </w:r>
      <w:r w:rsidRPr="00101729">
        <w:rPr>
          <w:rFonts w:ascii="Times New Roman" w:hAnsi="Times New Roman"/>
          <w:spacing w:val="-2"/>
          <w:sz w:val="13"/>
          <w:szCs w:val="13"/>
        </w:rPr>
        <w:t xml:space="preserve">, Haftbefehle in Sachen G und K, </w:t>
      </w:r>
      <w:proofErr w:type="spellStart"/>
      <w:r w:rsidRPr="00101729">
        <w:rPr>
          <w:rFonts w:ascii="Times New Roman" w:hAnsi="Times New Roman"/>
          <w:spacing w:val="-2"/>
          <w:sz w:val="13"/>
          <w:szCs w:val="13"/>
        </w:rPr>
        <w:t>JuS</w:t>
      </w:r>
      <w:proofErr w:type="spellEnd"/>
      <w:r w:rsidRPr="00101729">
        <w:rPr>
          <w:rFonts w:ascii="Times New Roman" w:hAnsi="Times New Roman"/>
          <w:spacing w:val="-2"/>
          <w:sz w:val="13"/>
          <w:szCs w:val="13"/>
        </w:rPr>
        <w:t xml:space="preserve"> 1999, 264.</w:t>
      </w:r>
    </w:p>
    <w:p w14:paraId="7243EF2B" w14:textId="46A20676" w:rsidR="00F74749" w:rsidRPr="00101729" w:rsidRDefault="00F74749" w:rsidP="0000570C">
      <w:pPr>
        <w:widowControl/>
        <w:tabs>
          <w:tab w:val="left" w:pos="-720"/>
          <w:tab w:val="left" w:pos="288"/>
          <w:tab w:val="left" w:pos="567"/>
          <w:tab w:val="left" w:pos="864"/>
          <w:tab w:val="left" w:pos="1116"/>
          <w:tab w:val="left" w:pos="1404"/>
          <w:tab w:val="left" w:pos="1701"/>
          <w:tab w:val="left" w:pos="2268"/>
          <w:tab w:val="left" w:pos="2880"/>
        </w:tabs>
        <w:ind w:left="1701" w:hanging="1701"/>
        <w:jc w:val="both"/>
        <w:rPr>
          <w:sz w:val="13"/>
          <w:szCs w:val="13"/>
        </w:rPr>
      </w:pPr>
      <w:r w:rsidRPr="00101729">
        <w:rPr>
          <w:rFonts w:ascii="Times New Roman" w:hAnsi="Times New Roman"/>
          <w:b/>
          <w:spacing w:val="-2"/>
          <w:sz w:val="13"/>
          <w:szCs w:val="13"/>
        </w:rPr>
        <w:t xml:space="preserve">Rechtsprechung: </w:t>
      </w:r>
      <w:r w:rsidRPr="00101729">
        <w:rPr>
          <w:rFonts w:ascii="Times New Roman" w:hAnsi="Times New Roman"/>
          <w:b/>
          <w:spacing w:val="-2"/>
          <w:sz w:val="13"/>
          <w:szCs w:val="13"/>
        </w:rPr>
        <w:tab/>
      </w:r>
      <w:r w:rsidRPr="00101729">
        <w:rPr>
          <w:rFonts w:ascii="Times New Roman" w:hAnsi="Times New Roman"/>
          <w:b/>
          <w:spacing w:val="-2"/>
          <w:sz w:val="13"/>
          <w:szCs w:val="13"/>
        </w:rPr>
        <w:tab/>
      </w:r>
      <w:r w:rsidR="0088583B" w:rsidRPr="00101729">
        <w:rPr>
          <w:rFonts w:ascii="Times New Roman" w:hAnsi="Times New Roman"/>
          <w:b/>
          <w:spacing w:val="-2"/>
          <w:sz w:val="13"/>
          <w:szCs w:val="13"/>
        </w:rPr>
        <w:tab/>
      </w:r>
      <w:r w:rsidRPr="00101729">
        <w:rPr>
          <w:rFonts w:ascii="Times New Roman" w:hAnsi="Times New Roman"/>
          <w:b/>
          <w:spacing w:val="-2"/>
          <w:sz w:val="13"/>
          <w:szCs w:val="13"/>
        </w:rPr>
        <w:t xml:space="preserve">BVerfGE 19, 342 – </w:t>
      </w:r>
      <w:r w:rsidRPr="00101729">
        <w:rPr>
          <w:rFonts w:ascii="Times New Roman" w:hAnsi="Times New Roman"/>
          <w:spacing w:val="-2"/>
          <w:sz w:val="13"/>
          <w:szCs w:val="13"/>
        </w:rPr>
        <w:t>Katalogtat (verfassungskonforme Auslegung);</w:t>
      </w:r>
      <w:r w:rsidRPr="00101729">
        <w:rPr>
          <w:rFonts w:ascii="Times New Roman" w:hAnsi="Times New Roman"/>
          <w:b/>
          <w:spacing w:val="-2"/>
          <w:sz w:val="13"/>
          <w:szCs w:val="13"/>
        </w:rPr>
        <w:t xml:space="preserve"> </w:t>
      </w:r>
      <w:r w:rsidR="00946B05" w:rsidRPr="00101729">
        <w:rPr>
          <w:rFonts w:ascii="Times New Roman" w:hAnsi="Times New Roman"/>
          <w:b/>
          <w:spacing w:val="-2"/>
          <w:sz w:val="13"/>
          <w:szCs w:val="13"/>
        </w:rPr>
        <w:t>BVerfG StV 2014, 35</w:t>
      </w:r>
      <w:r w:rsidR="00946B05" w:rsidRPr="00101729">
        <w:rPr>
          <w:rFonts w:ascii="Times New Roman" w:hAnsi="Times New Roman"/>
          <w:spacing w:val="-2"/>
          <w:sz w:val="13"/>
          <w:szCs w:val="13"/>
        </w:rPr>
        <w:t xml:space="preserve"> – Haftfortdauer (Beschleunigungsgrundsatz); </w:t>
      </w:r>
      <w:r w:rsidR="008A4E68" w:rsidRPr="00101729">
        <w:rPr>
          <w:rFonts w:ascii="Times New Roman" w:hAnsi="Times New Roman"/>
          <w:b/>
          <w:spacing w:val="-2"/>
          <w:sz w:val="13"/>
          <w:szCs w:val="13"/>
        </w:rPr>
        <w:t xml:space="preserve">BVerfG BeckRS 2017, 136740 </w:t>
      </w:r>
      <w:r w:rsidR="008A4E68" w:rsidRPr="00101729">
        <w:rPr>
          <w:rFonts w:ascii="Times New Roman" w:hAnsi="Times New Roman"/>
          <w:spacing w:val="-2"/>
          <w:sz w:val="13"/>
          <w:szCs w:val="13"/>
        </w:rPr>
        <w:t xml:space="preserve">– Haftfortdauer (keine Fortdauer wegen Überlastung der Gerichte); </w:t>
      </w:r>
      <w:r w:rsidR="00ED55C8" w:rsidRPr="00211534">
        <w:rPr>
          <w:rFonts w:ascii="Times New Roman" w:hAnsi="Times New Roman"/>
          <w:b/>
          <w:spacing w:val="-2"/>
          <w:sz w:val="13"/>
          <w:szCs w:val="13"/>
        </w:rPr>
        <w:t xml:space="preserve">BVerfG </w:t>
      </w:r>
      <w:r w:rsidR="0028253E">
        <w:rPr>
          <w:rFonts w:ascii="Times New Roman" w:hAnsi="Times New Roman"/>
          <w:b/>
          <w:spacing w:val="-2"/>
          <w:sz w:val="13"/>
          <w:szCs w:val="13"/>
        </w:rPr>
        <w:t xml:space="preserve">NJW </w:t>
      </w:r>
      <w:r w:rsidR="00ED55C8" w:rsidRPr="00211534">
        <w:rPr>
          <w:rFonts w:ascii="Times New Roman" w:hAnsi="Times New Roman"/>
          <w:b/>
          <w:spacing w:val="-2"/>
          <w:sz w:val="13"/>
          <w:szCs w:val="13"/>
        </w:rPr>
        <w:t>2018, 2948</w:t>
      </w:r>
      <w:r w:rsidR="00ED55C8">
        <w:rPr>
          <w:rFonts w:ascii="Times New Roman" w:hAnsi="Times New Roman"/>
          <w:spacing w:val="-2"/>
          <w:sz w:val="13"/>
          <w:szCs w:val="13"/>
        </w:rPr>
        <w:t xml:space="preserve"> – Aufrechterhaltung </w:t>
      </w:r>
      <w:r w:rsidR="00ED55C8" w:rsidRPr="00ED55C8">
        <w:rPr>
          <w:rFonts w:ascii="Times New Roman" w:hAnsi="Times New Roman"/>
          <w:spacing w:val="-2"/>
          <w:sz w:val="13"/>
          <w:szCs w:val="13"/>
        </w:rPr>
        <w:t>der Untersuchungshaft wegen Überlastung des Gerichts</w:t>
      </w:r>
      <w:r w:rsidR="00ED55C8">
        <w:rPr>
          <w:rFonts w:ascii="Times New Roman" w:hAnsi="Times New Roman"/>
          <w:spacing w:val="-2"/>
          <w:sz w:val="13"/>
          <w:szCs w:val="13"/>
        </w:rPr>
        <w:t xml:space="preserve"> (</w:t>
      </w:r>
      <w:r w:rsidR="0028253E" w:rsidRPr="0028253E">
        <w:rPr>
          <w:rFonts w:ascii="Times New Roman" w:hAnsi="Times New Roman"/>
          <w:spacing w:val="-2"/>
          <w:sz w:val="13"/>
          <w:szCs w:val="13"/>
        </w:rPr>
        <w:t>Gerichtsüberlastung allein ist kein Grund zur Aufrechterhaltung</w:t>
      </w:r>
      <w:r w:rsidR="00ED55C8">
        <w:rPr>
          <w:rFonts w:ascii="Times New Roman" w:hAnsi="Times New Roman"/>
          <w:spacing w:val="-2"/>
          <w:sz w:val="13"/>
          <w:szCs w:val="13"/>
        </w:rPr>
        <w:t xml:space="preserve">); </w:t>
      </w:r>
      <w:r w:rsidR="00ED55C8" w:rsidRPr="00211534">
        <w:rPr>
          <w:rFonts w:ascii="Times New Roman" w:hAnsi="Times New Roman"/>
          <w:b/>
          <w:spacing w:val="-2"/>
          <w:sz w:val="13"/>
          <w:szCs w:val="13"/>
        </w:rPr>
        <w:t>BVerfG NJW 2019, 915</w:t>
      </w:r>
      <w:r w:rsidR="00ED55C8">
        <w:rPr>
          <w:rFonts w:ascii="Times New Roman" w:hAnsi="Times New Roman"/>
          <w:spacing w:val="-2"/>
          <w:sz w:val="13"/>
          <w:szCs w:val="13"/>
        </w:rPr>
        <w:t xml:space="preserve"> – Verstoß </w:t>
      </w:r>
      <w:r w:rsidR="00ED55C8" w:rsidRPr="00ED55C8">
        <w:rPr>
          <w:rFonts w:ascii="Times New Roman" w:hAnsi="Times New Roman"/>
          <w:spacing w:val="-2"/>
          <w:sz w:val="13"/>
          <w:szCs w:val="13"/>
        </w:rPr>
        <w:t xml:space="preserve">gegen Beschleunigungsgrundsatz </w:t>
      </w:r>
      <w:r w:rsidR="00ED55C8">
        <w:rPr>
          <w:rFonts w:ascii="Times New Roman" w:hAnsi="Times New Roman"/>
          <w:spacing w:val="-2"/>
          <w:sz w:val="13"/>
          <w:szCs w:val="13"/>
        </w:rPr>
        <w:t>(z</w:t>
      </w:r>
      <w:r w:rsidR="00ED55C8" w:rsidRPr="00ED55C8">
        <w:rPr>
          <w:rFonts w:ascii="Times New Roman" w:hAnsi="Times New Roman"/>
          <w:spacing w:val="-2"/>
          <w:sz w:val="13"/>
          <w:szCs w:val="13"/>
        </w:rPr>
        <w:t>u den Anforderungen an die Verhandlungsdichte bei fortdauernder Untersuchungshaft</w:t>
      </w:r>
      <w:r w:rsidR="00ED55C8">
        <w:rPr>
          <w:rFonts w:ascii="Times New Roman" w:hAnsi="Times New Roman"/>
          <w:spacing w:val="-2"/>
          <w:sz w:val="13"/>
          <w:szCs w:val="13"/>
        </w:rPr>
        <w:t>);</w:t>
      </w:r>
      <w:r w:rsidR="00946B05" w:rsidRPr="00101729">
        <w:rPr>
          <w:rFonts w:ascii="Times New Roman" w:hAnsi="Times New Roman"/>
          <w:bCs/>
          <w:spacing w:val="-2"/>
          <w:sz w:val="13"/>
          <w:szCs w:val="13"/>
        </w:rPr>
        <w:t xml:space="preserve"> </w:t>
      </w:r>
      <w:r w:rsidR="00946B05" w:rsidRPr="00101729">
        <w:rPr>
          <w:rFonts w:ascii="Times New Roman" w:hAnsi="Times New Roman"/>
          <w:b/>
          <w:bCs/>
          <w:spacing w:val="-2"/>
          <w:sz w:val="13"/>
          <w:szCs w:val="13"/>
        </w:rPr>
        <w:t>BGH NStZ 2010, 445</w:t>
      </w:r>
      <w:r w:rsidR="00946B05" w:rsidRPr="00101729">
        <w:rPr>
          <w:rFonts w:ascii="Times New Roman" w:hAnsi="Times New Roman"/>
          <w:bCs/>
          <w:spacing w:val="-2"/>
          <w:sz w:val="13"/>
          <w:szCs w:val="13"/>
        </w:rPr>
        <w:t xml:space="preserve"> – RAF III (fehlende</w:t>
      </w:r>
      <w:r w:rsidR="00003DF1" w:rsidRPr="00101729">
        <w:rPr>
          <w:rFonts w:ascii="Times New Roman" w:hAnsi="Times New Roman"/>
          <w:bCs/>
          <w:spacing w:val="-2"/>
          <w:sz w:val="13"/>
          <w:szCs w:val="13"/>
        </w:rPr>
        <w:t>r</w:t>
      </w:r>
      <w:r w:rsidR="00946B05" w:rsidRPr="00101729">
        <w:rPr>
          <w:rFonts w:ascii="Times New Roman" w:hAnsi="Times New Roman"/>
          <w:bCs/>
          <w:spacing w:val="-2"/>
          <w:sz w:val="13"/>
          <w:szCs w:val="13"/>
        </w:rPr>
        <w:t xml:space="preserve"> </w:t>
      </w:r>
      <w:r w:rsidR="00003DF1" w:rsidRPr="00101729">
        <w:rPr>
          <w:rFonts w:ascii="Times New Roman" w:hAnsi="Times New Roman"/>
          <w:bCs/>
          <w:spacing w:val="-2"/>
          <w:sz w:val="13"/>
          <w:szCs w:val="13"/>
        </w:rPr>
        <w:t>Haftgrund</w:t>
      </w:r>
      <w:r w:rsidR="0049654C">
        <w:rPr>
          <w:rFonts w:ascii="Times New Roman" w:hAnsi="Times New Roman"/>
          <w:bCs/>
          <w:spacing w:val="-2"/>
          <w:sz w:val="13"/>
          <w:szCs w:val="13"/>
        </w:rPr>
        <w:t>, Verhältnismäßigkeit</w:t>
      </w:r>
      <w:r w:rsidR="00946B05" w:rsidRPr="00101729">
        <w:rPr>
          <w:rFonts w:ascii="Times New Roman" w:hAnsi="Times New Roman"/>
          <w:bCs/>
          <w:spacing w:val="-2"/>
          <w:sz w:val="13"/>
          <w:szCs w:val="13"/>
        </w:rPr>
        <w:t xml:space="preserve">), vgl. </w:t>
      </w:r>
      <w:r w:rsidR="00B86CFD" w:rsidRPr="00B86CFD">
        <w:rPr>
          <w:rFonts w:ascii="Times New Roman" w:hAnsi="Times New Roman"/>
          <w:bCs/>
          <w:i/>
          <w:spacing w:val="-2"/>
          <w:sz w:val="13"/>
          <w:szCs w:val="13"/>
        </w:rPr>
        <w:t>Marxen/Wölk</w:t>
      </w:r>
      <w:r w:rsidR="00B86CFD">
        <w:rPr>
          <w:rFonts w:ascii="Times New Roman" w:hAnsi="Times New Roman"/>
          <w:bCs/>
          <w:spacing w:val="-2"/>
          <w:sz w:val="13"/>
          <w:szCs w:val="13"/>
        </w:rPr>
        <w:t xml:space="preserve">, </w:t>
      </w:r>
      <w:r w:rsidR="00946B05" w:rsidRPr="00101729">
        <w:rPr>
          <w:rFonts w:ascii="Times New Roman" w:hAnsi="Times New Roman"/>
          <w:bCs/>
          <w:spacing w:val="-2"/>
          <w:sz w:val="13"/>
          <w:szCs w:val="13"/>
        </w:rPr>
        <w:t xml:space="preserve">famos </w:t>
      </w:r>
      <w:r w:rsidR="00505371">
        <w:rPr>
          <w:rFonts w:ascii="Times New Roman" w:hAnsi="Times New Roman"/>
          <w:bCs/>
          <w:spacing w:val="-2"/>
          <w:sz w:val="13"/>
          <w:szCs w:val="13"/>
        </w:rPr>
        <w:t>0</w:t>
      </w:r>
      <w:r w:rsidR="00946B05" w:rsidRPr="00101729">
        <w:rPr>
          <w:rFonts w:ascii="Times New Roman" w:hAnsi="Times New Roman"/>
          <w:bCs/>
          <w:spacing w:val="-2"/>
          <w:sz w:val="13"/>
          <w:szCs w:val="13"/>
        </w:rPr>
        <w:t xml:space="preserve">3/2010; </w:t>
      </w:r>
      <w:r w:rsidR="00946B05" w:rsidRPr="00101729">
        <w:rPr>
          <w:rFonts w:ascii="Times New Roman" w:hAnsi="Times New Roman"/>
          <w:b/>
          <w:spacing w:val="-2"/>
          <w:sz w:val="13"/>
          <w:szCs w:val="13"/>
        </w:rPr>
        <w:t>BGH NJW 2012, 1158</w:t>
      </w:r>
      <w:r w:rsidR="00946B05" w:rsidRPr="00101729">
        <w:rPr>
          <w:rFonts w:ascii="Times New Roman" w:hAnsi="Times New Roman"/>
          <w:spacing w:val="-2"/>
          <w:sz w:val="13"/>
          <w:szCs w:val="13"/>
        </w:rPr>
        <w:t xml:space="preserve"> – BGH-Ermittlungsrichter (Beschränkungen in der U-Haft); </w:t>
      </w:r>
      <w:r w:rsidRPr="00101729">
        <w:rPr>
          <w:rFonts w:ascii="Times New Roman" w:hAnsi="Times New Roman"/>
          <w:b/>
          <w:spacing w:val="-2"/>
          <w:sz w:val="13"/>
          <w:szCs w:val="13"/>
        </w:rPr>
        <w:t xml:space="preserve">OLG Köln NJW 1996, 1686 </w:t>
      </w:r>
      <w:r w:rsidR="00003DF1" w:rsidRPr="00101729">
        <w:rPr>
          <w:rFonts w:ascii="Times New Roman" w:hAnsi="Times New Roman"/>
          <w:b/>
          <w:spacing w:val="-2"/>
          <w:sz w:val="13"/>
          <w:szCs w:val="13"/>
        </w:rPr>
        <w:t>–</w:t>
      </w:r>
      <w:r w:rsidRPr="00101729">
        <w:rPr>
          <w:rFonts w:ascii="Times New Roman" w:hAnsi="Times New Roman"/>
          <w:b/>
          <w:spacing w:val="-2"/>
          <w:sz w:val="13"/>
          <w:szCs w:val="13"/>
        </w:rPr>
        <w:t xml:space="preserve"> </w:t>
      </w:r>
      <w:r w:rsidRPr="00101729">
        <w:rPr>
          <w:rFonts w:ascii="Times New Roman" w:hAnsi="Times New Roman"/>
          <w:spacing w:val="-2"/>
          <w:sz w:val="13"/>
          <w:szCs w:val="13"/>
        </w:rPr>
        <w:t xml:space="preserve">Ehestreit (Voraussetzungen des Haftbefehls); </w:t>
      </w:r>
      <w:r w:rsidR="0055696B" w:rsidRPr="004631B2">
        <w:rPr>
          <w:rFonts w:ascii="Times New Roman" w:hAnsi="Times New Roman"/>
          <w:b/>
          <w:bCs/>
          <w:spacing w:val="-2"/>
          <w:sz w:val="13"/>
          <w:szCs w:val="13"/>
        </w:rPr>
        <w:t>OLG Brandenburg BeckRS 2024</w:t>
      </w:r>
      <w:r w:rsidR="009A3EFB">
        <w:rPr>
          <w:rFonts w:ascii="Times New Roman" w:hAnsi="Times New Roman"/>
          <w:b/>
          <w:bCs/>
          <w:spacing w:val="-2"/>
          <w:sz w:val="13"/>
          <w:szCs w:val="13"/>
        </w:rPr>
        <w:t xml:space="preserve">, 7188 </w:t>
      </w:r>
      <w:r w:rsidRPr="00101729">
        <w:rPr>
          <w:rFonts w:ascii="Times New Roman" w:hAnsi="Times New Roman"/>
          <w:spacing w:val="-2"/>
          <w:sz w:val="13"/>
          <w:szCs w:val="13"/>
        </w:rPr>
        <w:t>– Verdunkelungsgefahr (keine Verdunkelungsgefahr bei der vollständigen Beweissicherung)</w:t>
      </w:r>
      <w:r w:rsidR="00946B05" w:rsidRPr="00101729">
        <w:rPr>
          <w:rFonts w:ascii="Times New Roman" w:hAnsi="Times New Roman"/>
          <w:spacing w:val="-2"/>
          <w:sz w:val="13"/>
          <w:szCs w:val="13"/>
        </w:rPr>
        <w:t>.</w:t>
      </w:r>
    </w:p>
    <w:sectPr w:rsidR="00F74749" w:rsidRPr="00101729" w:rsidSect="00F74749">
      <w:pgSz w:w="11906" w:h="16838"/>
      <w:pgMar w:top="567" w:right="680" w:bottom="289" w:left="1134" w:header="567" w:footer="289"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5B7E69" w14:textId="77777777" w:rsidR="00890E4C" w:rsidRDefault="00890E4C">
      <w:r>
        <w:separator/>
      </w:r>
    </w:p>
  </w:endnote>
  <w:endnote w:type="continuationSeparator" w:id="0">
    <w:p w14:paraId="11B48512" w14:textId="77777777" w:rsidR="00890E4C" w:rsidRDefault="00890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Dutch Roman 12pt">
    <w:altName w:val="Times New Roman"/>
    <w:panose1 w:val="020B06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F7C565" w14:textId="77777777" w:rsidR="00890E4C" w:rsidRDefault="00890E4C">
      <w:r>
        <w:separator/>
      </w:r>
    </w:p>
  </w:footnote>
  <w:footnote w:type="continuationSeparator" w:id="0">
    <w:p w14:paraId="64DCC107" w14:textId="77777777" w:rsidR="00890E4C" w:rsidRDefault="00890E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0F6607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6C51408"/>
    <w:multiLevelType w:val="hybridMultilevel"/>
    <w:tmpl w:val="F0E2BAAE"/>
    <w:lvl w:ilvl="0" w:tplc="6B46D31C">
      <w:start w:val="2"/>
      <w:numFmt w:val="decimal"/>
      <w:lvlText w:val="%1."/>
      <w:lvlJc w:val="left"/>
      <w:pPr>
        <w:tabs>
          <w:tab w:val="num" w:pos="920"/>
        </w:tabs>
        <w:ind w:left="920" w:hanging="360"/>
      </w:pPr>
      <w:rPr>
        <w:rFonts w:hint="default"/>
      </w:rPr>
    </w:lvl>
    <w:lvl w:ilvl="1" w:tplc="00190407" w:tentative="1">
      <w:start w:val="1"/>
      <w:numFmt w:val="lowerLetter"/>
      <w:lvlText w:val="%2."/>
      <w:lvlJc w:val="left"/>
      <w:pPr>
        <w:tabs>
          <w:tab w:val="num" w:pos="1640"/>
        </w:tabs>
        <w:ind w:left="1640" w:hanging="360"/>
      </w:pPr>
    </w:lvl>
    <w:lvl w:ilvl="2" w:tplc="001B0407" w:tentative="1">
      <w:start w:val="1"/>
      <w:numFmt w:val="lowerRoman"/>
      <w:lvlText w:val="%3."/>
      <w:lvlJc w:val="right"/>
      <w:pPr>
        <w:tabs>
          <w:tab w:val="num" w:pos="2360"/>
        </w:tabs>
        <w:ind w:left="2360" w:hanging="180"/>
      </w:pPr>
    </w:lvl>
    <w:lvl w:ilvl="3" w:tplc="000F0407" w:tentative="1">
      <w:start w:val="1"/>
      <w:numFmt w:val="decimal"/>
      <w:lvlText w:val="%4."/>
      <w:lvlJc w:val="left"/>
      <w:pPr>
        <w:tabs>
          <w:tab w:val="num" w:pos="3080"/>
        </w:tabs>
        <w:ind w:left="3080" w:hanging="360"/>
      </w:pPr>
    </w:lvl>
    <w:lvl w:ilvl="4" w:tplc="00190407" w:tentative="1">
      <w:start w:val="1"/>
      <w:numFmt w:val="lowerLetter"/>
      <w:lvlText w:val="%5."/>
      <w:lvlJc w:val="left"/>
      <w:pPr>
        <w:tabs>
          <w:tab w:val="num" w:pos="3800"/>
        </w:tabs>
        <w:ind w:left="3800" w:hanging="360"/>
      </w:pPr>
    </w:lvl>
    <w:lvl w:ilvl="5" w:tplc="001B0407" w:tentative="1">
      <w:start w:val="1"/>
      <w:numFmt w:val="lowerRoman"/>
      <w:lvlText w:val="%6."/>
      <w:lvlJc w:val="right"/>
      <w:pPr>
        <w:tabs>
          <w:tab w:val="num" w:pos="4520"/>
        </w:tabs>
        <w:ind w:left="4520" w:hanging="180"/>
      </w:pPr>
    </w:lvl>
    <w:lvl w:ilvl="6" w:tplc="000F0407" w:tentative="1">
      <w:start w:val="1"/>
      <w:numFmt w:val="decimal"/>
      <w:lvlText w:val="%7."/>
      <w:lvlJc w:val="left"/>
      <w:pPr>
        <w:tabs>
          <w:tab w:val="num" w:pos="5240"/>
        </w:tabs>
        <w:ind w:left="5240" w:hanging="360"/>
      </w:pPr>
    </w:lvl>
    <w:lvl w:ilvl="7" w:tplc="00190407" w:tentative="1">
      <w:start w:val="1"/>
      <w:numFmt w:val="lowerLetter"/>
      <w:lvlText w:val="%8."/>
      <w:lvlJc w:val="left"/>
      <w:pPr>
        <w:tabs>
          <w:tab w:val="num" w:pos="5960"/>
        </w:tabs>
        <w:ind w:left="5960" w:hanging="360"/>
      </w:pPr>
    </w:lvl>
    <w:lvl w:ilvl="8" w:tplc="001B0407" w:tentative="1">
      <w:start w:val="1"/>
      <w:numFmt w:val="lowerRoman"/>
      <w:lvlText w:val="%9."/>
      <w:lvlJc w:val="right"/>
      <w:pPr>
        <w:tabs>
          <w:tab w:val="num" w:pos="6680"/>
        </w:tabs>
        <w:ind w:left="6680" w:hanging="180"/>
      </w:pPr>
    </w:lvl>
  </w:abstractNum>
  <w:abstractNum w:abstractNumId="2" w15:restartNumberingAfterBreak="0">
    <w:nsid w:val="45953326"/>
    <w:multiLevelType w:val="hybridMultilevel"/>
    <w:tmpl w:val="F85C6CCC"/>
    <w:lvl w:ilvl="0" w:tplc="80A66170">
      <w:start w:val="2"/>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3" w15:restartNumberingAfterBreak="0">
    <w:nsid w:val="534A0D46"/>
    <w:multiLevelType w:val="multilevel"/>
    <w:tmpl w:val="7B3C2B68"/>
    <w:lvl w:ilvl="0">
      <w:start w:val="1"/>
      <w:numFmt w:val="decimal"/>
      <w:lvlText w:val="%1."/>
      <w:lvlJc w:val="left"/>
      <w:pPr>
        <w:tabs>
          <w:tab w:val="num" w:pos="720"/>
        </w:tabs>
        <w:ind w:left="720" w:hanging="360"/>
      </w:pPr>
      <w:rPr>
        <w:rFonts w:hint="default"/>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F79518A"/>
    <w:multiLevelType w:val="hybridMultilevel"/>
    <w:tmpl w:val="7B3C2B68"/>
    <w:lvl w:ilvl="0" w:tplc="CFC6C554">
      <w:start w:val="1"/>
      <w:numFmt w:val="decimal"/>
      <w:lvlText w:val="%1."/>
      <w:lvlJc w:val="left"/>
      <w:pPr>
        <w:tabs>
          <w:tab w:val="num" w:pos="720"/>
        </w:tabs>
        <w:ind w:left="720" w:hanging="360"/>
      </w:pPr>
      <w:rPr>
        <w:rFonts w:hint="default"/>
        <w:u w:val="single"/>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5" w15:restartNumberingAfterBreak="0">
    <w:nsid w:val="72A57741"/>
    <w:multiLevelType w:val="hybridMultilevel"/>
    <w:tmpl w:val="E2A4439A"/>
    <w:lvl w:ilvl="0" w:tplc="000F0407">
      <w:start w:val="2"/>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6" w15:restartNumberingAfterBreak="0">
    <w:nsid w:val="72C70AC4"/>
    <w:multiLevelType w:val="hybridMultilevel"/>
    <w:tmpl w:val="590C8E1E"/>
    <w:lvl w:ilvl="0" w:tplc="B3E80FFC">
      <w:start w:val="2"/>
      <w:numFmt w:val="decimal"/>
      <w:lvlText w:val="%1."/>
      <w:lvlJc w:val="left"/>
      <w:pPr>
        <w:tabs>
          <w:tab w:val="num" w:pos="920"/>
        </w:tabs>
        <w:ind w:left="920" w:hanging="360"/>
      </w:pPr>
      <w:rPr>
        <w:rFonts w:hint="default"/>
      </w:rPr>
    </w:lvl>
    <w:lvl w:ilvl="1" w:tplc="00190407" w:tentative="1">
      <w:start w:val="1"/>
      <w:numFmt w:val="lowerLetter"/>
      <w:lvlText w:val="%2."/>
      <w:lvlJc w:val="left"/>
      <w:pPr>
        <w:tabs>
          <w:tab w:val="num" w:pos="1640"/>
        </w:tabs>
        <w:ind w:left="1640" w:hanging="360"/>
      </w:pPr>
    </w:lvl>
    <w:lvl w:ilvl="2" w:tplc="001B0407" w:tentative="1">
      <w:start w:val="1"/>
      <w:numFmt w:val="lowerRoman"/>
      <w:lvlText w:val="%3."/>
      <w:lvlJc w:val="right"/>
      <w:pPr>
        <w:tabs>
          <w:tab w:val="num" w:pos="2360"/>
        </w:tabs>
        <w:ind w:left="2360" w:hanging="180"/>
      </w:pPr>
    </w:lvl>
    <w:lvl w:ilvl="3" w:tplc="000F0407" w:tentative="1">
      <w:start w:val="1"/>
      <w:numFmt w:val="decimal"/>
      <w:lvlText w:val="%4."/>
      <w:lvlJc w:val="left"/>
      <w:pPr>
        <w:tabs>
          <w:tab w:val="num" w:pos="3080"/>
        </w:tabs>
        <w:ind w:left="3080" w:hanging="360"/>
      </w:pPr>
    </w:lvl>
    <w:lvl w:ilvl="4" w:tplc="00190407" w:tentative="1">
      <w:start w:val="1"/>
      <w:numFmt w:val="lowerLetter"/>
      <w:lvlText w:val="%5."/>
      <w:lvlJc w:val="left"/>
      <w:pPr>
        <w:tabs>
          <w:tab w:val="num" w:pos="3800"/>
        </w:tabs>
        <w:ind w:left="3800" w:hanging="360"/>
      </w:pPr>
    </w:lvl>
    <w:lvl w:ilvl="5" w:tplc="001B0407" w:tentative="1">
      <w:start w:val="1"/>
      <w:numFmt w:val="lowerRoman"/>
      <w:lvlText w:val="%6."/>
      <w:lvlJc w:val="right"/>
      <w:pPr>
        <w:tabs>
          <w:tab w:val="num" w:pos="4520"/>
        </w:tabs>
        <w:ind w:left="4520" w:hanging="180"/>
      </w:pPr>
    </w:lvl>
    <w:lvl w:ilvl="6" w:tplc="000F0407" w:tentative="1">
      <w:start w:val="1"/>
      <w:numFmt w:val="decimal"/>
      <w:lvlText w:val="%7."/>
      <w:lvlJc w:val="left"/>
      <w:pPr>
        <w:tabs>
          <w:tab w:val="num" w:pos="5240"/>
        </w:tabs>
        <w:ind w:left="5240" w:hanging="360"/>
      </w:pPr>
    </w:lvl>
    <w:lvl w:ilvl="7" w:tplc="00190407" w:tentative="1">
      <w:start w:val="1"/>
      <w:numFmt w:val="lowerLetter"/>
      <w:lvlText w:val="%8."/>
      <w:lvlJc w:val="left"/>
      <w:pPr>
        <w:tabs>
          <w:tab w:val="num" w:pos="5960"/>
        </w:tabs>
        <w:ind w:left="5960" w:hanging="360"/>
      </w:pPr>
    </w:lvl>
    <w:lvl w:ilvl="8" w:tplc="001B0407" w:tentative="1">
      <w:start w:val="1"/>
      <w:numFmt w:val="lowerRoman"/>
      <w:lvlText w:val="%9."/>
      <w:lvlJc w:val="right"/>
      <w:pPr>
        <w:tabs>
          <w:tab w:val="num" w:pos="6680"/>
        </w:tabs>
        <w:ind w:left="6680" w:hanging="180"/>
      </w:pPr>
    </w:lvl>
  </w:abstractNum>
  <w:num w:numId="1" w16cid:durableId="1775975476">
    <w:abstractNumId w:val="4"/>
  </w:num>
  <w:num w:numId="2" w16cid:durableId="2072262810">
    <w:abstractNumId w:val="3"/>
  </w:num>
  <w:num w:numId="3" w16cid:durableId="219367187">
    <w:abstractNumId w:val="1"/>
  </w:num>
  <w:num w:numId="4" w16cid:durableId="2057966859">
    <w:abstractNumId w:val="6"/>
  </w:num>
  <w:num w:numId="5" w16cid:durableId="1144853656">
    <w:abstractNumId w:val="2"/>
  </w:num>
  <w:num w:numId="6" w16cid:durableId="841625395">
    <w:abstractNumId w:val="5"/>
  </w:num>
  <w:num w:numId="7" w16cid:durableId="1434083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5"/>
  <w:embedSystemFonts/>
  <w:activeWritingStyle w:appName="MSWord" w:lang="de-DE" w:vendorID="6" w:dllVersion="2" w:checkStyle="1"/>
  <w:proofState w:spelling="clean" w:grammar="clean"/>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430"/>
    <w:rsid w:val="00003DF1"/>
    <w:rsid w:val="0000570C"/>
    <w:rsid w:val="00011067"/>
    <w:rsid w:val="00012F30"/>
    <w:rsid w:val="00066F06"/>
    <w:rsid w:val="00101729"/>
    <w:rsid w:val="001211DA"/>
    <w:rsid w:val="001236D7"/>
    <w:rsid w:val="00133CA1"/>
    <w:rsid w:val="001364C7"/>
    <w:rsid w:val="001446CA"/>
    <w:rsid w:val="0014523B"/>
    <w:rsid w:val="0017387F"/>
    <w:rsid w:val="001753C6"/>
    <w:rsid w:val="001A2FCA"/>
    <w:rsid w:val="001A63ED"/>
    <w:rsid w:val="001C327C"/>
    <w:rsid w:val="001E0B5D"/>
    <w:rsid w:val="00201F76"/>
    <w:rsid w:val="00211534"/>
    <w:rsid w:val="0021763B"/>
    <w:rsid w:val="00226FC8"/>
    <w:rsid w:val="00234B2C"/>
    <w:rsid w:val="0024418F"/>
    <w:rsid w:val="002464B2"/>
    <w:rsid w:val="00265C66"/>
    <w:rsid w:val="0028253E"/>
    <w:rsid w:val="002A305F"/>
    <w:rsid w:val="002A44D7"/>
    <w:rsid w:val="002B18C2"/>
    <w:rsid w:val="002B2BB6"/>
    <w:rsid w:val="0031690C"/>
    <w:rsid w:val="00341D42"/>
    <w:rsid w:val="00351505"/>
    <w:rsid w:val="003615D6"/>
    <w:rsid w:val="003C02D8"/>
    <w:rsid w:val="003C0369"/>
    <w:rsid w:val="003E1008"/>
    <w:rsid w:val="003E5C97"/>
    <w:rsid w:val="004075AF"/>
    <w:rsid w:val="00422E0E"/>
    <w:rsid w:val="004631B2"/>
    <w:rsid w:val="0049654C"/>
    <w:rsid w:val="004F1D4C"/>
    <w:rsid w:val="004F2C68"/>
    <w:rsid w:val="00502220"/>
    <w:rsid w:val="00505371"/>
    <w:rsid w:val="005244E1"/>
    <w:rsid w:val="00530566"/>
    <w:rsid w:val="0055696B"/>
    <w:rsid w:val="00580430"/>
    <w:rsid w:val="005A2A74"/>
    <w:rsid w:val="005C660A"/>
    <w:rsid w:val="005E6906"/>
    <w:rsid w:val="005E7075"/>
    <w:rsid w:val="00624927"/>
    <w:rsid w:val="00661BE6"/>
    <w:rsid w:val="006D06D7"/>
    <w:rsid w:val="00701B60"/>
    <w:rsid w:val="00705AEC"/>
    <w:rsid w:val="00737664"/>
    <w:rsid w:val="00741D01"/>
    <w:rsid w:val="00784045"/>
    <w:rsid w:val="00797337"/>
    <w:rsid w:val="007A1B8D"/>
    <w:rsid w:val="007B2DA7"/>
    <w:rsid w:val="007C03E1"/>
    <w:rsid w:val="007E62DC"/>
    <w:rsid w:val="008064B5"/>
    <w:rsid w:val="008435FD"/>
    <w:rsid w:val="00862DC8"/>
    <w:rsid w:val="00874612"/>
    <w:rsid w:val="0088583B"/>
    <w:rsid w:val="00890E4C"/>
    <w:rsid w:val="008A4E68"/>
    <w:rsid w:val="008E4AA4"/>
    <w:rsid w:val="008F0C16"/>
    <w:rsid w:val="00906369"/>
    <w:rsid w:val="00926F64"/>
    <w:rsid w:val="00941897"/>
    <w:rsid w:val="0094650F"/>
    <w:rsid w:val="00946B05"/>
    <w:rsid w:val="009606AE"/>
    <w:rsid w:val="009A3EFB"/>
    <w:rsid w:val="009A4A89"/>
    <w:rsid w:val="009B07AE"/>
    <w:rsid w:val="009B2A0F"/>
    <w:rsid w:val="009B3ED9"/>
    <w:rsid w:val="009B6744"/>
    <w:rsid w:val="009C3DBC"/>
    <w:rsid w:val="009E4B88"/>
    <w:rsid w:val="00A07B4D"/>
    <w:rsid w:val="00A13150"/>
    <w:rsid w:val="00A301D1"/>
    <w:rsid w:val="00A318AA"/>
    <w:rsid w:val="00A32B92"/>
    <w:rsid w:val="00A45FDE"/>
    <w:rsid w:val="00A51296"/>
    <w:rsid w:val="00A71C50"/>
    <w:rsid w:val="00A7231F"/>
    <w:rsid w:val="00AA0EAF"/>
    <w:rsid w:val="00AB14C0"/>
    <w:rsid w:val="00AB72CF"/>
    <w:rsid w:val="00B46520"/>
    <w:rsid w:val="00B47AE3"/>
    <w:rsid w:val="00B75BD4"/>
    <w:rsid w:val="00B86CFD"/>
    <w:rsid w:val="00BB2046"/>
    <w:rsid w:val="00BE4805"/>
    <w:rsid w:val="00BE791E"/>
    <w:rsid w:val="00BF5D09"/>
    <w:rsid w:val="00C54E55"/>
    <w:rsid w:val="00C564AB"/>
    <w:rsid w:val="00C72CAD"/>
    <w:rsid w:val="00C8585F"/>
    <w:rsid w:val="00C87EDB"/>
    <w:rsid w:val="00D10CB0"/>
    <w:rsid w:val="00D111E7"/>
    <w:rsid w:val="00D20F73"/>
    <w:rsid w:val="00D307E6"/>
    <w:rsid w:val="00D35A7E"/>
    <w:rsid w:val="00D83ACB"/>
    <w:rsid w:val="00D84464"/>
    <w:rsid w:val="00D8582D"/>
    <w:rsid w:val="00DF1171"/>
    <w:rsid w:val="00E02651"/>
    <w:rsid w:val="00E53C79"/>
    <w:rsid w:val="00E72E30"/>
    <w:rsid w:val="00EA000D"/>
    <w:rsid w:val="00EC6D42"/>
    <w:rsid w:val="00ED55C8"/>
    <w:rsid w:val="00F114CE"/>
    <w:rsid w:val="00F338E4"/>
    <w:rsid w:val="00F63EC9"/>
    <w:rsid w:val="00F74749"/>
    <w:rsid w:val="00FC4DA6"/>
    <w:rsid w:val="00FF38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2740E13"/>
  <w15:chartTrackingRefBased/>
  <w15:docId w15:val="{D6B1C8D4-24E8-40B5-8404-767784E84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B4E7E"/>
    <w:pPr>
      <w:widowControl w:val="0"/>
      <w:autoSpaceDE w:val="0"/>
      <w:autoSpaceDN w:val="0"/>
      <w:adjustRightInd w:val="0"/>
    </w:pPr>
    <w:rPr>
      <w:rFonts w:ascii="Dutch Roman 12pt" w:hAnsi="Dutch Roman 12pt" w:cs="Arial Narrow"/>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rsid w:val="000B4E7E"/>
  </w:style>
  <w:style w:type="paragraph" w:styleId="Sprechblasentext">
    <w:name w:val="Balloon Text"/>
    <w:basedOn w:val="Standard"/>
    <w:semiHidden/>
    <w:rsid w:val="007418AD"/>
    <w:rPr>
      <w:rFonts w:ascii="Tahoma" w:hAnsi="Tahoma" w:cs="Tahoma"/>
      <w:sz w:val="16"/>
      <w:szCs w:val="16"/>
    </w:rPr>
  </w:style>
  <w:style w:type="paragraph" w:customStyle="1" w:styleId="DunkleListe-Akzent31">
    <w:name w:val="Dunkle Liste - Akzent 31"/>
    <w:hidden/>
    <w:uiPriority w:val="71"/>
    <w:rsid w:val="00D35A7E"/>
    <w:rPr>
      <w:rFonts w:ascii="Dutch Roman 12pt" w:hAnsi="Dutch Roman 12pt" w:cs="Arial Narrow"/>
      <w:sz w:val="24"/>
      <w:szCs w:val="24"/>
    </w:rPr>
  </w:style>
  <w:style w:type="character" w:styleId="Kommentarzeichen">
    <w:name w:val="annotation reference"/>
    <w:uiPriority w:val="99"/>
    <w:semiHidden/>
    <w:unhideWhenUsed/>
    <w:rsid w:val="00D35A7E"/>
    <w:rPr>
      <w:sz w:val="18"/>
      <w:szCs w:val="18"/>
    </w:rPr>
  </w:style>
  <w:style w:type="paragraph" w:styleId="Kommentartext">
    <w:name w:val="annotation text"/>
    <w:basedOn w:val="Standard"/>
    <w:link w:val="KommentartextZchn"/>
    <w:uiPriority w:val="99"/>
    <w:unhideWhenUsed/>
    <w:rsid w:val="00D35A7E"/>
  </w:style>
  <w:style w:type="character" w:customStyle="1" w:styleId="KommentartextZchn">
    <w:name w:val="Kommentartext Zchn"/>
    <w:link w:val="Kommentartext"/>
    <w:uiPriority w:val="99"/>
    <w:rsid w:val="00D35A7E"/>
    <w:rPr>
      <w:rFonts w:ascii="Dutch Roman 12pt" w:hAnsi="Dutch Roman 12pt" w:cs="Arial Narrow"/>
      <w:sz w:val="24"/>
      <w:szCs w:val="24"/>
    </w:rPr>
  </w:style>
  <w:style w:type="paragraph" w:styleId="Kommentarthema">
    <w:name w:val="annotation subject"/>
    <w:basedOn w:val="Kommentartext"/>
    <w:next w:val="Kommentartext"/>
    <w:link w:val="KommentarthemaZchn"/>
    <w:uiPriority w:val="99"/>
    <w:semiHidden/>
    <w:unhideWhenUsed/>
    <w:rsid w:val="00D35A7E"/>
    <w:rPr>
      <w:b/>
      <w:bCs/>
      <w:sz w:val="20"/>
      <w:szCs w:val="20"/>
    </w:rPr>
  </w:style>
  <w:style w:type="character" w:customStyle="1" w:styleId="KommentarthemaZchn">
    <w:name w:val="Kommentarthema Zchn"/>
    <w:link w:val="Kommentarthema"/>
    <w:uiPriority w:val="99"/>
    <w:semiHidden/>
    <w:rsid w:val="00D35A7E"/>
    <w:rPr>
      <w:rFonts w:ascii="Dutch Roman 12pt" w:hAnsi="Dutch Roman 12pt" w:cs="Arial Narrow"/>
      <w:b/>
      <w:bCs/>
      <w:sz w:val="24"/>
      <w:szCs w:val="24"/>
    </w:rPr>
  </w:style>
  <w:style w:type="paragraph" w:customStyle="1" w:styleId="FarbigeSchattierung-Akzent11">
    <w:name w:val="Farbige Schattierung - Akzent 11"/>
    <w:hidden/>
    <w:uiPriority w:val="71"/>
    <w:rsid w:val="001E0B5D"/>
    <w:rPr>
      <w:rFonts w:ascii="Dutch Roman 12pt" w:hAnsi="Dutch Roman 12pt" w:cs="Arial Narrow"/>
      <w:sz w:val="24"/>
      <w:szCs w:val="24"/>
    </w:rPr>
  </w:style>
  <w:style w:type="paragraph" w:styleId="berarbeitung">
    <w:name w:val="Revision"/>
    <w:hidden/>
    <w:uiPriority w:val="71"/>
    <w:rsid w:val="00265C66"/>
    <w:rPr>
      <w:rFonts w:ascii="Dutch Roman 12pt" w:hAnsi="Dutch Roman 12pt" w:cs="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1382</Words>
  <Characters>8708</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Professor Dr</vt:lpstr>
    </vt:vector>
  </TitlesOfParts>
  <Company>Humboldt-Universität zu Berlin</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Dr</dc:title>
  <dc:subject/>
  <dc:creator>Juristische Fakultät</dc:creator>
  <cp:keywords/>
  <cp:lastModifiedBy>Tobias Reinbacher</cp:lastModifiedBy>
  <cp:revision>4</cp:revision>
  <cp:lastPrinted>2020-10-16T11:56:00Z</cp:lastPrinted>
  <dcterms:created xsi:type="dcterms:W3CDTF">2024-10-09T12:15:00Z</dcterms:created>
  <dcterms:modified xsi:type="dcterms:W3CDTF">2024-10-14T10:16:00Z</dcterms:modified>
</cp:coreProperties>
</file>