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79BCA" w14:textId="3DA6E8FD" w:rsidR="00150176" w:rsidRDefault="00150176" w:rsidP="00150176">
      <w:pPr>
        <w:tabs>
          <w:tab w:val="right" w:pos="10206"/>
        </w:tabs>
        <w:jc w:val="both"/>
        <w:rPr>
          <w:b/>
          <w:spacing w:val="-3"/>
        </w:rPr>
      </w:pPr>
      <w:r>
        <w:rPr>
          <w:b/>
          <w:spacing w:val="-3"/>
        </w:rPr>
        <w:t>Prof. Dr.</w:t>
      </w:r>
      <w:r w:rsidR="008B75DF">
        <w:rPr>
          <w:b/>
          <w:spacing w:val="-3"/>
        </w:rPr>
        <w:t xml:space="preserve"> Dr. h.c.</w:t>
      </w:r>
      <w:r>
        <w:rPr>
          <w:b/>
          <w:spacing w:val="-3"/>
        </w:rPr>
        <w:t xml:space="preserve"> Bernd Heinrich/</w:t>
      </w:r>
      <w:r w:rsidR="00F81E90">
        <w:rPr>
          <w:b/>
          <w:spacing w:val="-3"/>
        </w:rPr>
        <w:t>Pr</w:t>
      </w:r>
      <w:r w:rsidR="00B87409">
        <w:rPr>
          <w:b/>
          <w:spacing w:val="-3"/>
        </w:rPr>
        <w:t>of</w:t>
      </w:r>
      <w:r w:rsidR="00F81E90">
        <w:rPr>
          <w:b/>
          <w:spacing w:val="-3"/>
        </w:rPr>
        <w:t xml:space="preserve">. </w:t>
      </w:r>
      <w:r>
        <w:rPr>
          <w:b/>
          <w:spacing w:val="-3"/>
        </w:rPr>
        <w:t>Dr. Tobias Reinbacher</w:t>
      </w:r>
      <w:r>
        <w:rPr>
          <w:b/>
          <w:spacing w:val="-3"/>
        </w:rPr>
        <w:tab/>
        <w:t xml:space="preserve">Stand: 1. </w:t>
      </w:r>
      <w:r w:rsidR="00E37132">
        <w:rPr>
          <w:b/>
          <w:spacing w:val="-3"/>
        </w:rPr>
        <w:t>Oktober</w:t>
      </w:r>
      <w:r w:rsidR="002B4E8F">
        <w:rPr>
          <w:b/>
          <w:spacing w:val="-3"/>
        </w:rPr>
        <w:t xml:space="preserve"> </w:t>
      </w:r>
      <w:r w:rsidR="00A0286A">
        <w:rPr>
          <w:b/>
          <w:spacing w:val="-3"/>
        </w:rPr>
        <w:t>20</w:t>
      </w:r>
      <w:r w:rsidR="00496947">
        <w:rPr>
          <w:b/>
          <w:spacing w:val="-3"/>
        </w:rPr>
        <w:t>2</w:t>
      </w:r>
      <w:r w:rsidR="004F1663">
        <w:rPr>
          <w:b/>
          <w:spacing w:val="-3"/>
        </w:rPr>
        <w:t>4</w:t>
      </w:r>
    </w:p>
    <w:p w14:paraId="6B606DB2" w14:textId="77777777" w:rsidR="00150176" w:rsidRPr="00BA0810" w:rsidRDefault="00150176" w:rsidP="00150176">
      <w:pPr>
        <w:tabs>
          <w:tab w:val="left" w:pos="-720"/>
        </w:tabs>
        <w:jc w:val="both"/>
        <w:rPr>
          <w:spacing w:val="-3"/>
          <w:sz w:val="16"/>
          <w:szCs w:val="16"/>
        </w:rPr>
      </w:pPr>
    </w:p>
    <w:p w14:paraId="6D5D3348" w14:textId="3C5390E1" w:rsidR="00150176" w:rsidRDefault="00150176" w:rsidP="00150176">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4F1663">
        <w:rPr>
          <w:b/>
          <w:spacing w:val="-3"/>
        </w:rPr>
        <w:t> </w:t>
      </w:r>
      <w:r>
        <w:rPr>
          <w:b/>
          <w:spacing w:val="-3"/>
        </w:rPr>
        <w:t>17</w:t>
      </w:r>
    </w:p>
    <w:p w14:paraId="2B854778" w14:textId="347A5E98" w:rsidR="00150176" w:rsidRPr="00374B94" w:rsidRDefault="00150176" w:rsidP="00150176">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0"/>
          <w:szCs w:val="50"/>
        </w:rPr>
      </w:pPr>
      <w:r w:rsidRPr="00374B94">
        <w:rPr>
          <w:b/>
          <w:spacing w:val="-7"/>
          <w:sz w:val="50"/>
          <w:szCs w:val="50"/>
        </w:rPr>
        <w:t>DNA-Analyse</w:t>
      </w:r>
    </w:p>
    <w:p w14:paraId="3313993E" w14:textId="77777777" w:rsidR="00150176" w:rsidRDefault="00150176" w:rsidP="00150176">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1E3DB1">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1A666A">
        <w:rPr>
          <w:rFonts w:ascii="Times New Roman" w:hAnsi="Times New Roman"/>
          <w:noProof/>
          <w:vanish/>
          <w:spacing w:val="-7"/>
          <w:sz w:val="60"/>
        </w:rPr>
        <w:t>1</w:t>
      </w:r>
      <w:r>
        <w:rPr>
          <w:rFonts w:ascii="Times New Roman" w:hAnsi="Times New Roman"/>
          <w:vanish/>
          <w:spacing w:val="-7"/>
          <w:sz w:val="60"/>
        </w:rPr>
        <w:fldChar w:fldCharType="end"/>
      </w:r>
    </w:p>
    <w:p w14:paraId="11EAA06A" w14:textId="77777777" w:rsidR="00150176" w:rsidRPr="00C2429A" w:rsidRDefault="00150176" w:rsidP="00150176">
      <w:pPr>
        <w:widowControl/>
        <w:tabs>
          <w:tab w:val="left" w:pos="-720"/>
          <w:tab w:val="left" w:pos="0"/>
          <w:tab w:val="left" w:pos="576"/>
          <w:tab w:val="left" w:pos="864"/>
          <w:tab w:val="left" w:pos="1116"/>
          <w:tab w:val="left" w:pos="1404"/>
          <w:tab w:val="left" w:pos="1692"/>
          <w:tab w:val="left" w:pos="1980"/>
          <w:tab w:val="left" w:pos="2268"/>
          <w:tab w:val="left" w:pos="2880"/>
        </w:tabs>
        <w:jc w:val="both"/>
        <w:rPr>
          <w:rFonts w:ascii="Times New Roman" w:hAnsi="Times New Roman"/>
          <w:b/>
          <w:spacing w:val="-2"/>
          <w:sz w:val="16"/>
        </w:rPr>
      </w:pPr>
    </w:p>
    <w:p w14:paraId="7118C185" w14:textId="558BCEB3" w:rsidR="00150176" w:rsidRDefault="00150176" w:rsidP="00180943">
      <w:pPr>
        <w:widowControl/>
        <w:tabs>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pacing w:val="-2"/>
          <w:sz w:val="16"/>
          <w:szCs w:val="16"/>
        </w:rPr>
      </w:pPr>
      <w:r w:rsidRPr="00240FCC">
        <w:rPr>
          <w:rFonts w:ascii="Times New Roman" w:hAnsi="Times New Roman" w:cs="Times New Roman"/>
          <w:b/>
          <w:spacing w:val="-2"/>
          <w:sz w:val="16"/>
          <w:szCs w:val="16"/>
        </w:rPr>
        <w:t xml:space="preserve">I. </w:t>
      </w:r>
      <w:r w:rsidRPr="00240FCC">
        <w:rPr>
          <w:rFonts w:ascii="Times New Roman" w:hAnsi="Times New Roman" w:cs="Times New Roman"/>
          <w:b/>
          <w:spacing w:val="-2"/>
          <w:sz w:val="16"/>
          <w:szCs w:val="16"/>
        </w:rPr>
        <w:tab/>
        <w:t xml:space="preserve">Allgemeines: </w:t>
      </w:r>
      <w:r w:rsidRPr="00240FCC">
        <w:rPr>
          <w:rFonts w:ascii="Times New Roman" w:hAnsi="Times New Roman" w:cs="Times New Roman"/>
          <w:spacing w:val="-2"/>
          <w:sz w:val="16"/>
          <w:szCs w:val="16"/>
        </w:rPr>
        <w:t xml:space="preserve">Vor Einführung der §§ 81e ff. StPO war umstritten, ob § 81a StPO auch eine Untersuchung </w:t>
      </w:r>
      <w:r w:rsidR="00E966E0" w:rsidRPr="00240FCC">
        <w:rPr>
          <w:rFonts w:ascii="Times New Roman" w:hAnsi="Times New Roman" w:cs="Times New Roman"/>
          <w:spacing w:val="-2"/>
          <w:sz w:val="16"/>
          <w:szCs w:val="16"/>
        </w:rPr>
        <w:t xml:space="preserve">des </w:t>
      </w:r>
      <w:r w:rsidRPr="00240FCC">
        <w:rPr>
          <w:rFonts w:ascii="Times New Roman" w:hAnsi="Times New Roman" w:cs="Times New Roman"/>
          <w:spacing w:val="-2"/>
          <w:sz w:val="16"/>
          <w:szCs w:val="16"/>
        </w:rPr>
        <w:t xml:space="preserve">genetischen Materials umfasst. Heute ist durch die Regelung in den §§ 81e ff. StPO klargestellt, dass solche Untersuchungen grundsätzlich möglich sind. </w:t>
      </w:r>
      <w:r w:rsidR="00A931EE" w:rsidRPr="00240FCC">
        <w:rPr>
          <w:rFonts w:ascii="Times New Roman" w:hAnsi="Times New Roman" w:cs="Times New Roman"/>
          <w:spacing w:val="-2"/>
          <w:sz w:val="16"/>
          <w:szCs w:val="16"/>
        </w:rPr>
        <w:t xml:space="preserve">Es </w:t>
      </w:r>
      <w:r w:rsidRPr="00240FCC">
        <w:rPr>
          <w:rFonts w:ascii="Times New Roman" w:hAnsi="Times New Roman" w:cs="Times New Roman"/>
          <w:spacing w:val="-2"/>
          <w:sz w:val="16"/>
          <w:szCs w:val="16"/>
        </w:rPr>
        <w:t xml:space="preserve">lassen sich zwei Stadien unterscheiden: molekulargenetische Untersuchungen im laufenden Strafverfahren, geregelt in den §§ 81e, 81f StPO (dazu II.) und solche im Hinblick auf zukünftige Verfahren, geregelt in § 81g StPO (dazu III.). § 81h StPO betrifft die Durchführung freiwilliger </w:t>
      </w:r>
      <w:r w:rsidR="00054F98" w:rsidRPr="00240FCC">
        <w:rPr>
          <w:rFonts w:ascii="Times New Roman" w:hAnsi="Times New Roman" w:cs="Times New Roman"/>
          <w:spacing w:val="-2"/>
          <w:sz w:val="16"/>
          <w:szCs w:val="16"/>
        </w:rPr>
        <w:t xml:space="preserve">DNA-Reihenuntersuchungen </w:t>
      </w:r>
      <w:r w:rsidRPr="00240FCC">
        <w:rPr>
          <w:rFonts w:ascii="Times New Roman" w:hAnsi="Times New Roman" w:cs="Times New Roman"/>
          <w:spacing w:val="-2"/>
          <w:sz w:val="16"/>
          <w:szCs w:val="16"/>
        </w:rPr>
        <w:t>(dazu II. 3.).</w:t>
      </w:r>
    </w:p>
    <w:p w14:paraId="6E8739F0" w14:textId="77777777" w:rsidR="00180943" w:rsidRPr="00240FCC" w:rsidRDefault="00180943" w:rsidP="00240FCC">
      <w:pPr>
        <w:widowControl/>
        <w:tabs>
          <w:tab w:val="left" w:pos="284"/>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b/>
          <w:spacing w:val="-2"/>
          <w:sz w:val="16"/>
          <w:szCs w:val="16"/>
        </w:rPr>
      </w:pPr>
    </w:p>
    <w:p w14:paraId="5DC5024D" w14:textId="7AD33B16" w:rsidR="00150176" w:rsidRPr="00240FCC" w:rsidRDefault="00150176" w:rsidP="00240FCC">
      <w:pPr>
        <w:widowControl/>
        <w:tabs>
          <w:tab w:val="left" w:pos="-720"/>
          <w:tab w:val="left" w:pos="284"/>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b/>
          <w:spacing w:val="-2"/>
          <w:sz w:val="16"/>
          <w:szCs w:val="16"/>
        </w:rPr>
      </w:pPr>
      <w:r w:rsidRPr="00240FCC">
        <w:rPr>
          <w:rFonts w:ascii="Times New Roman" w:hAnsi="Times New Roman" w:cs="Times New Roman"/>
          <w:b/>
          <w:spacing w:val="-2"/>
          <w:sz w:val="16"/>
          <w:szCs w:val="16"/>
        </w:rPr>
        <w:t xml:space="preserve">II. </w:t>
      </w:r>
      <w:r w:rsidRPr="00240FCC">
        <w:rPr>
          <w:rFonts w:ascii="Times New Roman" w:hAnsi="Times New Roman" w:cs="Times New Roman"/>
          <w:b/>
          <w:spacing w:val="-2"/>
          <w:sz w:val="16"/>
          <w:szCs w:val="16"/>
        </w:rPr>
        <w:tab/>
        <w:t>Molekulargenetische Untersuchungen i</w:t>
      </w:r>
      <w:r w:rsidR="004F1663" w:rsidRPr="00240FCC">
        <w:rPr>
          <w:rFonts w:ascii="Times New Roman" w:hAnsi="Times New Roman" w:cs="Times New Roman"/>
          <w:b/>
          <w:spacing w:val="-2"/>
          <w:sz w:val="16"/>
          <w:szCs w:val="16"/>
        </w:rPr>
        <w:t>m</w:t>
      </w:r>
      <w:r w:rsidRPr="00240FCC">
        <w:rPr>
          <w:rFonts w:ascii="Times New Roman" w:hAnsi="Times New Roman" w:cs="Times New Roman"/>
          <w:b/>
          <w:spacing w:val="-2"/>
          <w:sz w:val="16"/>
          <w:szCs w:val="16"/>
        </w:rPr>
        <w:t xml:space="preserve"> laufenden Verfahren, §§ 81e-81f StPO</w:t>
      </w:r>
    </w:p>
    <w:p w14:paraId="69F62EE5" w14:textId="14F0A76F" w:rsidR="00150176" w:rsidRPr="00240FCC" w:rsidRDefault="00150176" w:rsidP="00240FCC">
      <w:pPr>
        <w:widowControl/>
        <w:tabs>
          <w:tab w:val="left" w:pos="-720"/>
          <w:tab w:val="left" w:pos="284"/>
          <w:tab w:val="left" w:pos="567"/>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pacing w:val="-2"/>
          <w:sz w:val="16"/>
          <w:szCs w:val="16"/>
        </w:rPr>
      </w:pPr>
      <w:r w:rsidRPr="00240FCC">
        <w:rPr>
          <w:rFonts w:ascii="Times New Roman" w:hAnsi="Times New Roman" w:cs="Times New Roman"/>
          <w:spacing w:val="-2"/>
          <w:sz w:val="16"/>
          <w:szCs w:val="16"/>
        </w:rPr>
        <w:tab/>
      </w:r>
      <w:r w:rsidR="001629B7" w:rsidRPr="00240FCC">
        <w:rPr>
          <w:rFonts w:ascii="Times New Roman" w:hAnsi="Times New Roman" w:cs="Times New Roman"/>
          <w:spacing w:val="-2"/>
          <w:sz w:val="16"/>
          <w:szCs w:val="16"/>
        </w:rPr>
        <w:t xml:space="preserve">Mittels einer molekulargenetischen Untersuchung („genetischer Fingerabdruck“) </w:t>
      </w:r>
      <w:r w:rsidRPr="00240FCC">
        <w:rPr>
          <w:rFonts w:ascii="Times New Roman" w:hAnsi="Times New Roman" w:cs="Times New Roman"/>
          <w:spacing w:val="-2"/>
          <w:sz w:val="16"/>
          <w:szCs w:val="16"/>
        </w:rPr>
        <w:t xml:space="preserve">der in jeder menschlichen Zelle enthaltenen Desoxyribonukleinsäure (DNS, englisch: DNA) </w:t>
      </w:r>
      <w:r w:rsidR="001629B7" w:rsidRPr="00240FCC">
        <w:rPr>
          <w:rFonts w:ascii="Times New Roman" w:hAnsi="Times New Roman" w:cs="Times New Roman"/>
          <w:spacing w:val="-2"/>
          <w:sz w:val="16"/>
          <w:szCs w:val="16"/>
        </w:rPr>
        <w:t xml:space="preserve">kann </w:t>
      </w:r>
      <w:r w:rsidR="003617CD" w:rsidRPr="00240FCC">
        <w:rPr>
          <w:rFonts w:ascii="Times New Roman" w:hAnsi="Times New Roman" w:cs="Times New Roman"/>
          <w:spacing w:val="-2"/>
          <w:sz w:val="16"/>
          <w:szCs w:val="16"/>
        </w:rPr>
        <w:t xml:space="preserve">ein sog. DNA-Identifizierungsmuster erstellt werden, das dann z.B. mit dem der Spur abgeglichen </w:t>
      </w:r>
      <w:r w:rsidR="001629B7" w:rsidRPr="00240FCC">
        <w:rPr>
          <w:rFonts w:ascii="Times New Roman" w:hAnsi="Times New Roman" w:cs="Times New Roman"/>
          <w:spacing w:val="-2"/>
          <w:sz w:val="16"/>
          <w:szCs w:val="16"/>
        </w:rPr>
        <w:t>werden</w:t>
      </w:r>
      <w:r w:rsidR="003617CD" w:rsidRPr="00240FCC">
        <w:rPr>
          <w:rFonts w:ascii="Times New Roman" w:hAnsi="Times New Roman" w:cs="Times New Roman"/>
          <w:spacing w:val="-2"/>
          <w:sz w:val="16"/>
          <w:szCs w:val="16"/>
        </w:rPr>
        <w:t xml:space="preserve"> kann</w:t>
      </w:r>
      <w:r w:rsidRPr="00240FCC">
        <w:rPr>
          <w:rFonts w:ascii="Times New Roman" w:hAnsi="Times New Roman" w:cs="Times New Roman"/>
          <w:spacing w:val="-2"/>
          <w:sz w:val="16"/>
          <w:szCs w:val="16"/>
        </w:rPr>
        <w:t xml:space="preserve">, </w:t>
      </w:r>
      <w:r w:rsidR="003617CD" w:rsidRPr="00240FCC">
        <w:rPr>
          <w:rFonts w:ascii="Times New Roman" w:hAnsi="Times New Roman" w:cs="Times New Roman"/>
          <w:spacing w:val="-2"/>
          <w:sz w:val="16"/>
          <w:szCs w:val="16"/>
        </w:rPr>
        <w:t>um</w:t>
      </w:r>
      <w:r w:rsidRPr="00240FCC">
        <w:rPr>
          <w:rFonts w:ascii="Times New Roman" w:hAnsi="Times New Roman" w:cs="Times New Roman"/>
          <w:spacing w:val="-2"/>
          <w:sz w:val="16"/>
          <w:szCs w:val="16"/>
        </w:rPr>
        <w:t xml:space="preserve"> </w:t>
      </w:r>
      <w:r w:rsidR="003617CD" w:rsidRPr="00240FCC">
        <w:rPr>
          <w:rFonts w:ascii="Times New Roman" w:hAnsi="Times New Roman" w:cs="Times New Roman"/>
          <w:spacing w:val="-2"/>
          <w:sz w:val="16"/>
          <w:szCs w:val="16"/>
        </w:rPr>
        <w:t xml:space="preserve">festzustellen, ob </w:t>
      </w:r>
      <w:r w:rsidRPr="00240FCC">
        <w:rPr>
          <w:rFonts w:ascii="Times New Roman" w:hAnsi="Times New Roman" w:cs="Times New Roman"/>
          <w:spacing w:val="-2"/>
          <w:sz w:val="16"/>
          <w:szCs w:val="16"/>
        </w:rPr>
        <w:t>das am Tatort aufgefundene Körpermaterial (Haare, Speichel, Sperma, Hautpartikel etc.) von dem Beschuldigten stammt. Das hierzu verwendete Material kann auf unterschiedliche Art und Weise erlangt worden sein. Gemäß § 81e I 1 StPO kann zunächst das dem Beschuldigten</w:t>
      </w:r>
      <w:r w:rsidR="005E2D27" w:rsidRPr="00240FCC">
        <w:rPr>
          <w:rFonts w:ascii="Times New Roman" w:hAnsi="Times New Roman" w:cs="Times New Roman"/>
          <w:spacing w:val="-2"/>
          <w:sz w:val="16"/>
          <w:szCs w:val="16"/>
        </w:rPr>
        <w:t xml:space="preserve"> oder Dritten</w:t>
      </w:r>
      <w:r w:rsidRPr="00240FCC">
        <w:rPr>
          <w:rFonts w:ascii="Times New Roman" w:hAnsi="Times New Roman" w:cs="Times New Roman"/>
          <w:spacing w:val="-2"/>
          <w:sz w:val="16"/>
          <w:szCs w:val="16"/>
        </w:rPr>
        <w:t xml:space="preserve"> bereits zuvor nach § 81a </w:t>
      </w:r>
      <w:r w:rsidR="004F1663" w:rsidRPr="00240FCC">
        <w:rPr>
          <w:rFonts w:ascii="Times New Roman" w:hAnsi="Times New Roman" w:cs="Times New Roman"/>
          <w:spacing w:val="-2"/>
          <w:sz w:val="16"/>
          <w:szCs w:val="16"/>
        </w:rPr>
        <w:t xml:space="preserve">I </w:t>
      </w:r>
      <w:r w:rsidR="005E2D27" w:rsidRPr="00240FCC">
        <w:rPr>
          <w:rFonts w:ascii="Times New Roman" w:hAnsi="Times New Roman" w:cs="Times New Roman"/>
          <w:spacing w:val="-2"/>
          <w:sz w:val="16"/>
          <w:szCs w:val="16"/>
        </w:rPr>
        <w:t xml:space="preserve">bzw. § 81c </w:t>
      </w:r>
      <w:r w:rsidRPr="00240FCC">
        <w:rPr>
          <w:rFonts w:ascii="Times New Roman" w:hAnsi="Times New Roman" w:cs="Times New Roman"/>
          <w:spacing w:val="-2"/>
          <w:sz w:val="16"/>
          <w:szCs w:val="16"/>
        </w:rPr>
        <w:t>StPO entnommene Material verwendet werden. Die Entnahme kann aber auch eigens zu diesem Zweck erfolgen. Hierzu ist dann die Duldung der Entnahme von Körperzellen seitens des Beschuldigten nach § 81a </w:t>
      </w:r>
      <w:r w:rsidR="004F1663" w:rsidRPr="00240FCC">
        <w:rPr>
          <w:rFonts w:ascii="Times New Roman" w:hAnsi="Times New Roman" w:cs="Times New Roman"/>
          <w:spacing w:val="-2"/>
          <w:sz w:val="16"/>
          <w:szCs w:val="16"/>
        </w:rPr>
        <w:t xml:space="preserve">I </w:t>
      </w:r>
      <w:r w:rsidRPr="00240FCC">
        <w:rPr>
          <w:rFonts w:ascii="Times New Roman" w:hAnsi="Times New Roman" w:cs="Times New Roman"/>
          <w:spacing w:val="-2"/>
          <w:sz w:val="16"/>
          <w:szCs w:val="16"/>
        </w:rPr>
        <w:t xml:space="preserve">StPO </w:t>
      </w:r>
      <w:r w:rsidR="005F44CA" w:rsidRPr="00240FCC">
        <w:rPr>
          <w:rFonts w:ascii="Times New Roman" w:hAnsi="Times New Roman" w:cs="Times New Roman"/>
          <w:spacing w:val="-2"/>
          <w:sz w:val="16"/>
          <w:szCs w:val="16"/>
        </w:rPr>
        <w:t>bzw. eines Dritten nach § 81c</w:t>
      </w:r>
      <w:r w:rsidR="003617CD" w:rsidRPr="00240FCC">
        <w:rPr>
          <w:rFonts w:ascii="Times New Roman" w:hAnsi="Times New Roman" w:cs="Times New Roman"/>
          <w:spacing w:val="-2"/>
          <w:sz w:val="16"/>
          <w:szCs w:val="16"/>
        </w:rPr>
        <w:t> II 1</w:t>
      </w:r>
      <w:r w:rsidR="005F44CA" w:rsidRPr="00240FCC">
        <w:rPr>
          <w:rFonts w:ascii="Times New Roman" w:hAnsi="Times New Roman" w:cs="Times New Roman"/>
          <w:spacing w:val="-2"/>
          <w:sz w:val="16"/>
          <w:szCs w:val="16"/>
        </w:rPr>
        <w:t xml:space="preserve"> StPO </w:t>
      </w:r>
      <w:r w:rsidRPr="00240FCC">
        <w:rPr>
          <w:rFonts w:ascii="Times New Roman" w:hAnsi="Times New Roman" w:cs="Times New Roman"/>
          <w:spacing w:val="-2"/>
          <w:sz w:val="16"/>
          <w:szCs w:val="16"/>
        </w:rPr>
        <w:t>erforderlich, die auch zwangsweise durchgesetzt werden kann (vgl. dazu Arbeitsblatt Nr. 16</w:t>
      </w:r>
      <w:r w:rsidR="005E347A" w:rsidRPr="00240FCC">
        <w:rPr>
          <w:rFonts w:ascii="Times New Roman" w:hAnsi="Times New Roman" w:cs="Times New Roman"/>
          <w:spacing w:val="-2"/>
          <w:sz w:val="16"/>
          <w:szCs w:val="16"/>
        </w:rPr>
        <w:t>a</w:t>
      </w:r>
      <w:r w:rsidRPr="00240FCC">
        <w:rPr>
          <w:rFonts w:ascii="Times New Roman" w:hAnsi="Times New Roman" w:cs="Times New Roman"/>
          <w:spacing w:val="-2"/>
          <w:sz w:val="16"/>
          <w:szCs w:val="16"/>
        </w:rPr>
        <w:t>). Sind die Proben bereits vorhanden, d.h. bereits vorher zu anderen Zwecken entnommen worden, so dürfen diese in anderen Strafverfahren nur dann verwendet werden, wenn diese bereits „</w:t>
      </w:r>
      <w:r w:rsidRPr="00240FCC">
        <w:rPr>
          <w:rFonts w:ascii="Times New Roman" w:hAnsi="Times New Roman" w:cs="Times New Roman"/>
          <w:b/>
          <w:spacing w:val="-2"/>
          <w:sz w:val="16"/>
          <w:szCs w:val="16"/>
        </w:rPr>
        <w:t>anhängig</w:t>
      </w:r>
      <w:r w:rsidRPr="00240FCC">
        <w:rPr>
          <w:rFonts w:ascii="Times New Roman" w:hAnsi="Times New Roman" w:cs="Times New Roman"/>
          <w:spacing w:val="-2"/>
          <w:sz w:val="16"/>
          <w:szCs w:val="16"/>
        </w:rPr>
        <w:t>“ sind, § 81a III </w:t>
      </w:r>
      <w:proofErr w:type="spellStart"/>
      <w:r w:rsidR="003617CD" w:rsidRPr="00240FCC">
        <w:rPr>
          <w:rFonts w:ascii="Times New Roman" w:hAnsi="Times New Roman" w:cs="Times New Roman"/>
          <w:spacing w:val="-2"/>
          <w:sz w:val="16"/>
          <w:szCs w:val="16"/>
        </w:rPr>
        <w:t>Hs</w:t>
      </w:r>
      <w:proofErr w:type="spellEnd"/>
      <w:r w:rsidR="003617CD" w:rsidRPr="00240FCC">
        <w:rPr>
          <w:rFonts w:ascii="Times New Roman" w:hAnsi="Times New Roman" w:cs="Times New Roman"/>
          <w:spacing w:val="-2"/>
          <w:sz w:val="16"/>
          <w:szCs w:val="16"/>
        </w:rPr>
        <w:t xml:space="preserve">. 1 </w:t>
      </w:r>
      <w:r w:rsidRPr="00240FCC">
        <w:rPr>
          <w:rFonts w:ascii="Times New Roman" w:hAnsi="Times New Roman" w:cs="Times New Roman"/>
          <w:spacing w:val="-2"/>
          <w:sz w:val="16"/>
          <w:szCs w:val="16"/>
        </w:rPr>
        <w:t>StPO</w:t>
      </w:r>
      <w:r w:rsidR="005F44CA" w:rsidRPr="00240FCC">
        <w:rPr>
          <w:rFonts w:ascii="Times New Roman" w:hAnsi="Times New Roman" w:cs="Times New Roman"/>
          <w:spacing w:val="-2"/>
          <w:sz w:val="16"/>
          <w:szCs w:val="16"/>
        </w:rPr>
        <w:t xml:space="preserve"> (</w:t>
      </w:r>
      <w:proofErr w:type="spellStart"/>
      <w:r w:rsidR="005F44CA" w:rsidRPr="00240FCC">
        <w:rPr>
          <w:rFonts w:ascii="Times New Roman" w:hAnsi="Times New Roman" w:cs="Times New Roman"/>
          <w:spacing w:val="-2"/>
          <w:sz w:val="16"/>
          <w:szCs w:val="16"/>
        </w:rPr>
        <w:t>i.V.m</w:t>
      </w:r>
      <w:proofErr w:type="spellEnd"/>
      <w:r w:rsidR="005F44CA" w:rsidRPr="00240FCC">
        <w:rPr>
          <w:rFonts w:ascii="Times New Roman" w:hAnsi="Times New Roman" w:cs="Times New Roman"/>
          <w:spacing w:val="-2"/>
          <w:sz w:val="16"/>
          <w:szCs w:val="16"/>
        </w:rPr>
        <w:t>. § 81c V 2 StPO)</w:t>
      </w:r>
      <w:r w:rsidRPr="00240FCC">
        <w:rPr>
          <w:rFonts w:ascii="Times New Roman" w:hAnsi="Times New Roman" w:cs="Times New Roman"/>
          <w:spacing w:val="-2"/>
          <w:sz w:val="16"/>
          <w:szCs w:val="16"/>
        </w:rPr>
        <w:t>. Nicht mehr benötigte Proben sind unverzüglich zu vernichten</w:t>
      </w:r>
      <w:r w:rsidR="003617CD" w:rsidRPr="00240FCC">
        <w:rPr>
          <w:rFonts w:ascii="Times New Roman" w:hAnsi="Times New Roman" w:cs="Times New Roman"/>
          <w:spacing w:val="-2"/>
          <w:sz w:val="16"/>
          <w:szCs w:val="16"/>
        </w:rPr>
        <w:t xml:space="preserve">, § 81a III </w:t>
      </w:r>
      <w:proofErr w:type="spellStart"/>
      <w:r w:rsidR="003617CD" w:rsidRPr="00240FCC">
        <w:rPr>
          <w:rFonts w:ascii="Times New Roman" w:hAnsi="Times New Roman" w:cs="Times New Roman"/>
          <w:spacing w:val="-2"/>
          <w:sz w:val="16"/>
          <w:szCs w:val="16"/>
        </w:rPr>
        <w:t>Hs</w:t>
      </w:r>
      <w:proofErr w:type="spellEnd"/>
      <w:r w:rsidR="003617CD" w:rsidRPr="00240FCC">
        <w:rPr>
          <w:rFonts w:ascii="Times New Roman" w:hAnsi="Times New Roman" w:cs="Times New Roman"/>
          <w:spacing w:val="-2"/>
          <w:sz w:val="16"/>
          <w:szCs w:val="16"/>
        </w:rPr>
        <w:t>. 2 StPO (</w:t>
      </w:r>
      <w:proofErr w:type="spellStart"/>
      <w:r w:rsidR="003617CD" w:rsidRPr="00240FCC">
        <w:rPr>
          <w:rFonts w:ascii="Times New Roman" w:hAnsi="Times New Roman" w:cs="Times New Roman"/>
          <w:spacing w:val="-2"/>
          <w:sz w:val="16"/>
          <w:szCs w:val="16"/>
        </w:rPr>
        <w:t>i.V.m</w:t>
      </w:r>
      <w:proofErr w:type="spellEnd"/>
      <w:r w:rsidR="003617CD" w:rsidRPr="00240FCC">
        <w:rPr>
          <w:rFonts w:ascii="Times New Roman" w:hAnsi="Times New Roman" w:cs="Times New Roman"/>
          <w:spacing w:val="-2"/>
          <w:sz w:val="16"/>
          <w:szCs w:val="16"/>
        </w:rPr>
        <w:t>. § 81c V 2 StPO)</w:t>
      </w:r>
      <w:r w:rsidRPr="00240FCC">
        <w:rPr>
          <w:rFonts w:ascii="Times New Roman" w:hAnsi="Times New Roman" w:cs="Times New Roman"/>
          <w:spacing w:val="-2"/>
          <w:sz w:val="16"/>
          <w:szCs w:val="16"/>
        </w:rPr>
        <w:t>.</w:t>
      </w:r>
    </w:p>
    <w:p w14:paraId="2471E8C0" w14:textId="570F2327" w:rsidR="00150176" w:rsidRPr="00240FCC" w:rsidRDefault="00150176" w:rsidP="00240FCC">
      <w:pPr>
        <w:widowControl/>
        <w:tabs>
          <w:tab w:val="left" w:pos="-720"/>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cs="Times New Roman"/>
          <w:spacing w:val="-2"/>
          <w:sz w:val="16"/>
          <w:szCs w:val="16"/>
        </w:rPr>
      </w:pPr>
      <w:r w:rsidRPr="00240FCC">
        <w:rPr>
          <w:rFonts w:ascii="Times New Roman" w:hAnsi="Times New Roman" w:cs="Times New Roman"/>
          <w:spacing w:val="-2"/>
          <w:sz w:val="16"/>
          <w:szCs w:val="16"/>
          <w:u w:val="single"/>
        </w:rPr>
        <w:t xml:space="preserve">1. </w:t>
      </w:r>
      <w:r w:rsidRPr="00240FCC">
        <w:rPr>
          <w:rFonts w:ascii="Times New Roman" w:hAnsi="Times New Roman" w:cs="Times New Roman"/>
          <w:spacing w:val="-2"/>
          <w:sz w:val="16"/>
          <w:szCs w:val="16"/>
          <w:u w:val="single"/>
        </w:rPr>
        <w:tab/>
        <w:t>Anordnungsbefugnis:</w:t>
      </w:r>
      <w:r w:rsidRPr="00240FCC">
        <w:rPr>
          <w:rFonts w:ascii="Times New Roman" w:hAnsi="Times New Roman" w:cs="Times New Roman"/>
          <w:spacing w:val="-2"/>
          <w:sz w:val="16"/>
          <w:szCs w:val="16"/>
        </w:rPr>
        <w:t xml:space="preserve"> Ohne Einwilligung des Betroffenen das Gericht, bei Gefahr im Verzug auch die </w:t>
      </w:r>
      <w:proofErr w:type="spellStart"/>
      <w:r w:rsidRPr="00240FCC">
        <w:rPr>
          <w:rFonts w:ascii="Times New Roman" w:hAnsi="Times New Roman" w:cs="Times New Roman"/>
          <w:spacing w:val="-2"/>
          <w:sz w:val="16"/>
          <w:szCs w:val="16"/>
        </w:rPr>
        <w:t>StA</w:t>
      </w:r>
      <w:proofErr w:type="spellEnd"/>
      <w:r w:rsidRPr="00240FCC">
        <w:rPr>
          <w:rFonts w:ascii="Times New Roman" w:hAnsi="Times New Roman" w:cs="Times New Roman"/>
          <w:spacing w:val="-2"/>
          <w:sz w:val="16"/>
          <w:szCs w:val="16"/>
        </w:rPr>
        <w:t xml:space="preserve"> und ihre Ermittlungspersonen, § 81f I </w:t>
      </w:r>
      <w:r w:rsidR="003C0271" w:rsidRPr="00240FCC">
        <w:rPr>
          <w:rFonts w:ascii="Times New Roman" w:hAnsi="Times New Roman" w:cs="Times New Roman"/>
          <w:spacing w:val="-2"/>
          <w:sz w:val="16"/>
          <w:szCs w:val="16"/>
        </w:rPr>
        <w:t xml:space="preserve">1 </w:t>
      </w:r>
      <w:r w:rsidRPr="00240FCC">
        <w:rPr>
          <w:rFonts w:ascii="Times New Roman" w:hAnsi="Times New Roman" w:cs="Times New Roman"/>
          <w:spacing w:val="-2"/>
          <w:sz w:val="16"/>
          <w:szCs w:val="16"/>
        </w:rPr>
        <w:t>StPO.</w:t>
      </w:r>
    </w:p>
    <w:p w14:paraId="40FAD442" w14:textId="7A8D9839" w:rsidR="00150176" w:rsidRDefault="00150176" w:rsidP="00180943">
      <w:pPr>
        <w:widowControl/>
        <w:tabs>
          <w:tab w:val="left" w:pos="-720"/>
          <w:tab w:val="left" w:pos="864"/>
          <w:tab w:val="left" w:pos="1134"/>
          <w:tab w:val="left" w:pos="1404"/>
          <w:tab w:val="left" w:pos="1692"/>
          <w:tab w:val="left" w:pos="1980"/>
          <w:tab w:val="left" w:pos="2268"/>
          <w:tab w:val="left" w:pos="2880"/>
        </w:tabs>
        <w:ind w:left="567" w:hanging="283"/>
        <w:jc w:val="both"/>
        <w:rPr>
          <w:rFonts w:ascii="Times New Roman" w:hAnsi="Times New Roman" w:cs="Times New Roman"/>
          <w:spacing w:val="-2"/>
          <w:sz w:val="16"/>
          <w:szCs w:val="16"/>
        </w:rPr>
      </w:pPr>
      <w:r w:rsidRPr="00240FCC">
        <w:rPr>
          <w:rFonts w:ascii="Times New Roman" w:hAnsi="Times New Roman" w:cs="Times New Roman"/>
          <w:spacing w:val="-2"/>
          <w:sz w:val="16"/>
          <w:szCs w:val="16"/>
          <w:u w:val="single"/>
        </w:rPr>
        <w:t xml:space="preserve">2. </w:t>
      </w:r>
      <w:r w:rsidRPr="00240FCC">
        <w:rPr>
          <w:rFonts w:ascii="Times New Roman" w:hAnsi="Times New Roman" w:cs="Times New Roman"/>
          <w:spacing w:val="-2"/>
          <w:sz w:val="16"/>
          <w:szCs w:val="16"/>
          <w:u w:val="single"/>
        </w:rPr>
        <w:tab/>
        <w:t>Voraussetzungen:</w:t>
      </w:r>
      <w:r w:rsidRPr="00240FCC">
        <w:rPr>
          <w:rFonts w:ascii="Times New Roman" w:hAnsi="Times New Roman" w:cs="Times New Roman"/>
          <w:spacing w:val="-2"/>
          <w:sz w:val="16"/>
          <w:szCs w:val="16"/>
        </w:rPr>
        <w:t xml:space="preserve"> a) </w:t>
      </w:r>
      <w:r w:rsidR="005717A6" w:rsidRPr="00240FCC">
        <w:rPr>
          <w:rFonts w:ascii="Times New Roman" w:hAnsi="Times New Roman" w:cs="Times New Roman"/>
          <w:spacing w:val="-2"/>
          <w:sz w:val="16"/>
          <w:szCs w:val="16"/>
        </w:rPr>
        <w:t xml:space="preserve">Das </w:t>
      </w:r>
      <w:r w:rsidRPr="00240FCC">
        <w:rPr>
          <w:rFonts w:ascii="Times New Roman" w:hAnsi="Times New Roman" w:cs="Times New Roman"/>
          <w:spacing w:val="-2"/>
          <w:sz w:val="16"/>
          <w:szCs w:val="16"/>
        </w:rPr>
        <w:t xml:space="preserve">Material stammt </w:t>
      </w:r>
      <w:r w:rsidR="005717A6" w:rsidRPr="00240FCC">
        <w:rPr>
          <w:rFonts w:ascii="Times New Roman" w:hAnsi="Times New Roman" w:cs="Times New Roman"/>
          <w:spacing w:val="-2"/>
          <w:sz w:val="16"/>
          <w:szCs w:val="16"/>
        </w:rPr>
        <w:t>vo</w:t>
      </w:r>
      <w:r w:rsidRPr="00240FCC">
        <w:rPr>
          <w:rFonts w:ascii="Times New Roman" w:hAnsi="Times New Roman" w:cs="Times New Roman"/>
          <w:spacing w:val="-2"/>
          <w:sz w:val="16"/>
          <w:szCs w:val="16"/>
        </w:rPr>
        <w:t>m Beschuldigten und wurde rechtmäßig gemäß § 81a </w:t>
      </w:r>
      <w:r w:rsidR="003C0271" w:rsidRPr="00240FCC">
        <w:rPr>
          <w:rFonts w:ascii="Times New Roman" w:hAnsi="Times New Roman" w:cs="Times New Roman"/>
          <w:spacing w:val="-2"/>
          <w:sz w:val="16"/>
          <w:szCs w:val="16"/>
        </w:rPr>
        <w:t xml:space="preserve">I </w:t>
      </w:r>
      <w:r w:rsidRPr="00240FCC">
        <w:rPr>
          <w:rFonts w:ascii="Times New Roman" w:hAnsi="Times New Roman" w:cs="Times New Roman"/>
          <w:spacing w:val="-2"/>
          <w:sz w:val="16"/>
          <w:szCs w:val="16"/>
        </w:rPr>
        <w:t xml:space="preserve">StPO erlangt oder es stammt von Dritten und wurde gemäß § 81c StPO gewonnen </w:t>
      </w:r>
      <w:r w:rsidR="00054F98" w:rsidRPr="00240FCC">
        <w:rPr>
          <w:rFonts w:ascii="Times New Roman" w:hAnsi="Times New Roman" w:cs="Times New Roman"/>
          <w:spacing w:val="-2"/>
          <w:sz w:val="16"/>
          <w:szCs w:val="16"/>
        </w:rPr>
        <w:t>(§ 81e I StPO)</w:t>
      </w:r>
      <w:r w:rsidR="00DC262F" w:rsidRPr="00240FCC">
        <w:rPr>
          <w:rFonts w:ascii="Times New Roman" w:hAnsi="Times New Roman" w:cs="Times New Roman"/>
          <w:spacing w:val="-2"/>
          <w:sz w:val="16"/>
          <w:szCs w:val="16"/>
        </w:rPr>
        <w:t xml:space="preserve"> </w:t>
      </w:r>
      <w:r w:rsidRPr="00240FCC">
        <w:rPr>
          <w:rFonts w:ascii="Times New Roman" w:hAnsi="Times New Roman" w:cs="Times New Roman"/>
          <w:spacing w:val="-2"/>
          <w:sz w:val="16"/>
          <w:szCs w:val="16"/>
        </w:rPr>
        <w:t xml:space="preserve">oder es handelt sich um </w:t>
      </w:r>
      <w:r w:rsidR="00941426" w:rsidRPr="00240FCC">
        <w:rPr>
          <w:rFonts w:ascii="Times New Roman" w:hAnsi="Times New Roman" w:cs="Times New Roman"/>
          <w:spacing w:val="-2"/>
          <w:sz w:val="16"/>
          <w:szCs w:val="16"/>
        </w:rPr>
        <w:t xml:space="preserve">aufgefundenes, sichergestelltes oder beschlagnahmtes  </w:t>
      </w:r>
      <w:r w:rsidRPr="00240FCC">
        <w:rPr>
          <w:rFonts w:ascii="Times New Roman" w:hAnsi="Times New Roman" w:cs="Times New Roman"/>
          <w:spacing w:val="-2"/>
          <w:sz w:val="16"/>
          <w:szCs w:val="16"/>
        </w:rPr>
        <w:t xml:space="preserve">Material (§ 81e II StPO), b) bereits vorhandenes Material darf nur in bereits anhängigen Verfahren verwendet werden (s.o.), c) Zweck: </w:t>
      </w:r>
      <w:r w:rsidR="001629B7" w:rsidRPr="00240FCC">
        <w:rPr>
          <w:rFonts w:ascii="Times New Roman" w:hAnsi="Times New Roman" w:cs="Times New Roman"/>
          <w:spacing w:val="-2"/>
          <w:sz w:val="16"/>
          <w:szCs w:val="16"/>
        </w:rPr>
        <w:t>mittels molekulargenetischer Untersuchung dürfen das DNA-Identifizierungsmuster, die Abstammung und das Geschlecht der Person festgestellt und diese Feststellungen mit Vergleichsmaterial abgeglichen werden, soweit dies zur Erforschung des Sachverhalts erforderlich ist</w:t>
      </w:r>
      <w:r w:rsidR="0029205A" w:rsidRPr="00240FCC">
        <w:rPr>
          <w:rFonts w:ascii="Times New Roman" w:hAnsi="Times New Roman" w:cs="Times New Roman"/>
          <w:spacing w:val="-2"/>
          <w:sz w:val="16"/>
          <w:szCs w:val="16"/>
        </w:rPr>
        <w:t>,</w:t>
      </w:r>
      <w:r w:rsidR="001629B7" w:rsidRPr="00240FCC">
        <w:rPr>
          <w:rFonts w:ascii="Times New Roman" w:hAnsi="Times New Roman" w:cs="Times New Roman"/>
          <w:spacing w:val="-2"/>
          <w:sz w:val="16"/>
          <w:szCs w:val="16"/>
        </w:rPr>
        <w:t xml:space="preserve"> </w:t>
      </w:r>
      <w:r w:rsidR="00941426" w:rsidRPr="00240FCC">
        <w:rPr>
          <w:rFonts w:ascii="Times New Roman" w:hAnsi="Times New Roman" w:cs="Times New Roman"/>
          <w:spacing w:val="-2"/>
          <w:sz w:val="16"/>
          <w:szCs w:val="16"/>
        </w:rPr>
        <w:t xml:space="preserve">bei anonymem Material dürfen nach § 81e II 2 StPO zusätzlich die Augen-, Haar- und Hautfarbe und das Alter bestimmt werden, </w:t>
      </w:r>
      <w:r w:rsidRPr="00240FCC">
        <w:rPr>
          <w:rFonts w:ascii="Times New Roman" w:hAnsi="Times New Roman" w:cs="Times New Roman"/>
          <w:spacing w:val="-2"/>
          <w:sz w:val="16"/>
          <w:szCs w:val="16"/>
        </w:rPr>
        <w:t>d) Durchführung durch Sachverständige (vgl. dazu § 81f II StPO), e) Verhältnismäßigkeit.</w:t>
      </w:r>
    </w:p>
    <w:p w14:paraId="552AF711" w14:textId="77777777" w:rsidR="00180943" w:rsidRPr="00240FCC" w:rsidRDefault="00180943" w:rsidP="00240FCC">
      <w:pPr>
        <w:widowControl/>
        <w:tabs>
          <w:tab w:val="left" w:pos="-720"/>
          <w:tab w:val="left" w:pos="864"/>
          <w:tab w:val="left" w:pos="1134"/>
          <w:tab w:val="left" w:pos="1404"/>
          <w:tab w:val="left" w:pos="1692"/>
          <w:tab w:val="left" w:pos="1980"/>
          <w:tab w:val="left" w:pos="2268"/>
          <w:tab w:val="left" w:pos="2880"/>
        </w:tabs>
        <w:ind w:left="567" w:hanging="283"/>
        <w:jc w:val="both"/>
        <w:rPr>
          <w:rFonts w:ascii="Times New Roman" w:hAnsi="Times New Roman" w:cs="Times New Roman"/>
          <w:spacing w:val="-2"/>
          <w:sz w:val="16"/>
          <w:szCs w:val="16"/>
        </w:rPr>
      </w:pPr>
    </w:p>
    <w:p w14:paraId="08410E80" w14:textId="6A1B83D0" w:rsidR="003C12BA" w:rsidRPr="00240FCC" w:rsidRDefault="003C12BA" w:rsidP="00240FCC">
      <w:pPr>
        <w:widowControl/>
        <w:tabs>
          <w:tab w:val="left" w:pos="-720"/>
          <w:tab w:val="left" w:pos="0"/>
          <w:tab w:val="left" w:pos="576"/>
          <w:tab w:val="left" w:pos="864"/>
          <w:tab w:val="left" w:pos="1116"/>
          <w:tab w:val="left" w:pos="1404"/>
          <w:tab w:val="left" w:pos="1692"/>
          <w:tab w:val="left" w:pos="1980"/>
          <w:tab w:val="left" w:pos="2268"/>
          <w:tab w:val="left" w:pos="2880"/>
        </w:tabs>
        <w:ind w:left="142" w:hanging="142"/>
        <w:jc w:val="both"/>
        <w:outlineLvl w:val="0"/>
        <w:rPr>
          <w:rFonts w:ascii="Times New Roman" w:hAnsi="Times New Roman" w:cs="Times New Roman"/>
          <w:spacing w:val="-2"/>
          <w:sz w:val="16"/>
          <w:szCs w:val="16"/>
        </w:rPr>
      </w:pPr>
      <w:r w:rsidRPr="00240FCC">
        <w:rPr>
          <w:rFonts w:ascii="Times New Roman" w:hAnsi="Times New Roman" w:cs="Times New Roman"/>
          <w:b/>
          <w:spacing w:val="-2"/>
          <w:sz w:val="16"/>
          <w:szCs w:val="16"/>
        </w:rPr>
        <w:t>III. DNA-Analyse im Hinblick auf zukünftige Verfahren, § 81g StPO</w:t>
      </w:r>
    </w:p>
    <w:p w14:paraId="42D5FCEC" w14:textId="75C52C31" w:rsidR="003C12BA" w:rsidRDefault="003C12BA" w:rsidP="00180943">
      <w:pPr>
        <w:widowControl/>
        <w:tabs>
          <w:tab w:val="left" w:pos="-720"/>
          <w:tab w:val="left" w:pos="0"/>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pacing w:val="-2"/>
          <w:sz w:val="16"/>
          <w:szCs w:val="16"/>
        </w:rPr>
      </w:pPr>
      <w:r w:rsidRPr="00240FCC">
        <w:rPr>
          <w:rFonts w:ascii="Times New Roman" w:hAnsi="Times New Roman" w:cs="Times New Roman"/>
          <w:spacing w:val="-2"/>
          <w:sz w:val="16"/>
          <w:szCs w:val="16"/>
        </w:rPr>
        <w:tab/>
        <w:t xml:space="preserve">Gemäß § 81g StPO können dem Beschuldigten auch in einem anhängigen Strafverfahren, welches eine Straftat von erheblicher Bedeutung oder gegen die sexuelle Selbstbestimmung oder die wiederholte Begehung sonstiger Straftaten zum Gegenstand hat, zum Zwecke der Identitätsfeststellung </w:t>
      </w:r>
      <w:r w:rsidR="00774588" w:rsidRPr="00240FCC">
        <w:rPr>
          <w:rFonts w:ascii="Times New Roman" w:hAnsi="Times New Roman" w:cs="Times New Roman"/>
          <w:spacing w:val="-2"/>
          <w:sz w:val="16"/>
          <w:szCs w:val="16"/>
        </w:rPr>
        <w:t xml:space="preserve">in </w:t>
      </w:r>
      <w:r w:rsidRPr="00240FCC">
        <w:rPr>
          <w:rFonts w:ascii="Times New Roman" w:hAnsi="Times New Roman" w:cs="Times New Roman"/>
          <w:spacing w:val="-2"/>
          <w:sz w:val="16"/>
          <w:szCs w:val="16"/>
        </w:rPr>
        <w:t>künftige</w:t>
      </w:r>
      <w:r w:rsidR="00774588" w:rsidRPr="00240FCC">
        <w:rPr>
          <w:rFonts w:ascii="Times New Roman" w:hAnsi="Times New Roman" w:cs="Times New Roman"/>
          <w:spacing w:val="-2"/>
          <w:sz w:val="16"/>
          <w:szCs w:val="16"/>
        </w:rPr>
        <w:t>n</w:t>
      </w:r>
      <w:r w:rsidRPr="00240FCC">
        <w:rPr>
          <w:rFonts w:ascii="Times New Roman" w:hAnsi="Times New Roman" w:cs="Times New Roman"/>
          <w:spacing w:val="-2"/>
          <w:sz w:val="16"/>
          <w:szCs w:val="16"/>
        </w:rPr>
        <w:t xml:space="preserve"> Strafverfahren Körperzellen entnommen werden, um ein DNA-Identifizierungsmuster zu erstellen</w:t>
      </w:r>
      <w:r w:rsidR="00774588" w:rsidRPr="00240FCC">
        <w:rPr>
          <w:rFonts w:ascii="Times New Roman" w:hAnsi="Times New Roman" w:cs="Times New Roman"/>
          <w:spacing w:val="-2"/>
          <w:sz w:val="16"/>
          <w:szCs w:val="16"/>
        </w:rPr>
        <w:t xml:space="preserve"> und das Geschlecht zu bestimmen</w:t>
      </w:r>
      <w:r w:rsidRPr="00240FCC">
        <w:rPr>
          <w:rFonts w:ascii="Times New Roman" w:hAnsi="Times New Roman" w:cs="Times New Roman"/>
          <w:spacing w:val="-2"/>
          <w:sz w:val="16"/>
          <w:szCs w:val="16"/>
        </w:rPr>
        <w:t xml:space="preserve">. Dies ist zulässig, wenn eine Wiederholungsgefahr bzgl. einer </w:t>
      </w:r>
      <w:r w:rsidR="00774588" w:rsidRPr="00240FCC">
        <w:rPr>
          <w:rFonts w:ascii="Times New Roman" w:hAnsi="Times New Roman" w:cs="Times New Roman"/>
          <w:spacing w:val="-2"/>
          <w:sz w:val="16"/>
          <w:szCs w:val="16"/>
        </w:rPr>
        <w:t>Straftat von erheblicher Bedeutung</w:t>
      </w:r>
      <w:r w:rsidRPr="00240FCC">
        <w:rPr>
          <w:rFonts w:ascii="Times New Roman" w:hAnsi="Times New Roman" w:cs="Times New Roman"/>
          <w:spacing w:val="-2"/>
          <w:sz w:val="16"/>
          <w:szCs w:val="16"/>
        </w:rPr>
        <w:t xml:space="preserve"> besteht. Zu beachten ist wiederum der Verhältnismäßigkeitsgrundsatz.</w:t>
      </w:r>
    </w:p>
    <w:p w14:paraId="0F4467DA" w14:textId="77777777" w:rsidR="00180943" w:rsidRPr="00240FCC" w:rsidRDefault="00180943" w:rsidP="00240FCC">
      <w:pPr>
        <w:widowControl/>
        <w:tabs>
          <w:tab w:val="left" w:pos="-720"/>
          <w:tab w:val="left" w:pos="0"/>
          <w:tab w:val="left" w:pos="576"/>
          <w:tab w:val="left" w:pos="864"/>
          <w:tab w:val="left" w:pos="1116"/>
          <w:tab w:val="left" w:pos="1404"/>
          <w:tab w:val="left" w:pos="1692"/>
          <w:tab w:val="left" w:pos="1980"/>
          <w:tab w:val="left" w:pos="2268"/>
          <w:tab w:val="left" w:pos="2880"/>
        </w:tabs>
        <w:ind w:left="284" w:hanging="284"/>
        <w:jc w:val="both"/>
        <w:rPr>
          <w:rFonts w:ascii="Times New Roman" w:hAnsi="Times New Roman" w:cs="Times New Roman"/>
          <w:spacing w:val="-2"/>
          <w:sz w:val="16"/>
          <w:szCs w:val="16"/>
        </w:rPr>
      </w:pPr>
    </w:p>
    <w:p w14:paraId="71ADBEE4" w14:textId="40B072BF" w:rsidR="008B5010" w:rsidRPr="00240FCC" w:rsidRDefault="008B5010" w:rsidP="00240FCC">
      <w:pPr>
        <w:widowControl/>
        <w:tabs>
          <w:tab w:val="left" w:pos="-720"/>
          <w:tab w:val="left" w:pos="864"/>
          <w:tab w:val="left" w:pos="1134"/>
          <w:tab w:val="left" w:pos="1404"/>
          <w:tab w:val="left" w:pos="1692"/>
          <w:tab w:val="left" w:pos="1980"/>
          <w:tab w:val="left" w:pos="2268"/>
          <w:tab w:val="left" w:pos="2880"/>
        </w:tabs>
        <w:jc w:val="both"/>
        <w:rPr>
          <w:rFonts w:ascii="Times New Roman" w:hAnsi="Times New Roman" w:cs="Times New Roman"/>
          <w:b/>
          <w:spacing w:val="-2"/>
          <w:sz w:val="16"/>
          <w:szCs w:val="16"/>
        </w:rPr>
      </w:pPr>
      <w:r w:rsidRPr="00240FCC">
        <w:rPr>
          <w:rFonts w:ascii="Times New Roman" w:hAnsi="Times New Roman" w:cs="Times New Roman"/>
          <w:b/>
          <w:spacing w:val="-2"/>
          <w:sz w:val="16"/>
          <w:szCs w:val="16"/>
        </w:rPr>
        <w:t>I</w:t>
      </w:r>
      <w:r w:rsidR="003C12BA" w:rsidRPr="00240FCC">
        <w:rPr>
          <w:rFonts w:ascii="Times New Roman" w:hAnsi="Times New Roman" w:cs="Times New Roman"/>
          <w:b/>
          <w:spacing w:val="-2"/>
          <w:sz w:val="16"/>
          <w:szCs w:val="16"/>
        </w:rPr>
        <w:t>V</w:t>
      </w:r>
      <w:r w:rsidRPr="00240FCC">
        <w:rPr>
          <w:rFonts w:ascii="Times New Roman" w:hAnsi="Times New Roman" w:cs="Times New Roman"/>
          <w:b/>
          <w:spacing w:val="-2"/>
          <w:sz w:val="16"/>
          <w:szCs w:val="16"/>
        </w:rPr>
        <w:t>. DNA-Reihenuntersuchung</w:t>
      </w:r>
      <w:r w:rsidR="00D21A79" w:rsidRPr="00240FCC">
        <w:rPr>
          <w:rFonts w:ascii="Times New Roman" w:hAnsi="Times New Roman" w:cs="Times New Roman"/>
          <w:b/>
          <w:spacing w:val="-2"/>
          <w:sz w:val="16"/>
          <w:szCs w:val="16"/>
        </w:rPr>
        <w:t xml:space="preserve"> („</w:t>
      </w:r>
      <w:r w:rsidR="00EC0834" w:rsidRPr="00240FCC">
        <w:rPr>
          <w:rFonts w:ascii="Times New Roman" w:hAnsi="Times New Roman" w:cs="Times New Roman"/>
          <w:b/>
          <w:spacing w:val="-2"/>
          <w:sz w:val="16"/>
          <w:szCs w:val="16"/>
        </w:rPr>
        <w:t>Massen</w:t>
      </w:r>
      <w:r w:rsidR="00787678" w:rsidRPr="00240FCC">
        <w:rPr>
          <w:rFonts w:ascii="Times New Roman" w:hAnsi="Times New Roman" w:cs="Times New Roman"/>
          <w:b/>
          <w:spacing w:val="-2"/>
          <w:sz w:val="16"/>
          <w:szCs w:val="16"/>
        </w:rPr>
        <w:t>gen</w:t>
      </w:r>
      <w:r w:rsidR="00D21A79" w:rsidRPr="00240FCC">
        <w:rPr>
          <w:rFonts w:ascii="Times New Roman" w:hAnsi="Times New Roman" w:cs="Times New Roman"/>
          <w:b/>
          <w:spacing w:val="-2"/>
          <w:sz w:val="16"/>
          <w:szCs w:val="16"/>
        </w:rPr>
        <w:t>test“)</w:t>
      </w:r>
      <w:r w:rsidRPr="00240FCC">
        <w:rPr>
          <w:rFonts w:ascii="Times New Roman" w:hAnsi="Times New Roman" w:cs="Times New Roman"/>
          <w:b/>
          <w:spacing w:val="-2"/>
          <w:sz w:val="16"/>
          <w:szCs w:val="16"/>
        </w:rPr>
        <w:t>, § 81h StPO</w:t>
      </w:r>
    </w:p>
    <w:p w14:paraId="318125A4" w14:textId="433E6C8C" w:rsidR="00C972EB" w:rsidRPr="00240FCC" w:rsidRDefault="00D21A79" w:rsidP="00240FCC">
      <w:pPr>
        <w:widowControl/>
        <w:tabs>
          <w:tab w:val="left" w:pos="-720"/>
          <w:tab w:val="left" w:pos="851"/>
          <w:tab w:val="left" w:pos="993"/>
          <w:tab w:val="left" w:pos="1116"/>
          <w:tab w:val="left" w:pos="1404"/>
          <w:tab w:val="left" w:pos="1692"/>
          <w:tab w:val="left" w:pos="1980"/>
          <w:tab w:val="left" w:pos="2268"/>
          <w:tab w:val="left" w:pos="2880"/>
        </w:tabs>
        <w:ind w:left="284"/>
        <w:jc w:val="both"/>
        <w:rPr>
          <w:rFonts w:ascii="Times New Roman" w:hAnsi="Times New Roman" w:cs="Times New Roman"/>
          <w:spacing w:val="-2"/>
          <w:sz w:val="16"/>
          <w:szCs w:val="16"/>
        </w:rPr>
      </w:pPr>
      <w:r w:rsidRPr="00240FCC">
        <w:rPr>
          <w:rFonts w:ascii="Times New Roman" w:hAnsi="Times New Roman" w:cs="Times New Roman"/>
          <w:spacing w:val="-2"/>
          <w:sz w:val="16"/>
          <w:szCs w:val="16"/>
        </w:rPr>
        <w:t xml:space="preserve">Die gesetzliche Grundlage für </w:t>
      </w:r>
      <w:r w:rsidR="00054F98" w:rsidRPr="00240FCC">
        <w:rPr>
          <w:rFonts w:ascii="Times New Roman" w:hAnsi="Times New Roman" w:cs="Times New Roman"/>
          <w:spacing w:val="-2"/>
          <w:sz w:val="16"/>
          <w:szCs w:val="16"/>
        </w:rPr>
        <w:t>DNA-Reihenuntersuchungen</w:t>
      </w:r>
      <w:r w:rsidRPr="00240FCC">
        <w:rPr>
          <w:rFonts w:ascii="Times New Roman" w:hAnsi="Times New Roman" w:cs="Times New Roman"/>
          <w:spacing w:val="-2"/>
          <w:sz w:val="16"/>
          <w:szCs w:val="16"/>
        </w:rPr>
        <w:t xml:space="preserve"> ist in § 81h StPO geregelt. </w:t>
      </w:r>
      <w:r w:rsidR="003C12BA" w:rsidRPr="00240FCC">
        <w:rPr>
          <w:rFonts w:ascii="Times New Roman" w:hAnsi="Times New Roman" w:cs="Times New Roman"/>
          <w:spacing w:val="-2"/>
          <w:sz w:val="16"/>
          <w:szCs w:val="16"/>
        </w:rPr>
        <w:t>Die Vorschrift</w:t>
      </w:r>
      <w:r w:rsidRPr="00240FCC">
        <w:rPr>
          <w:rFonts w:ascii="Times New Roman" w:hAnsi="Times New Roman" w:cs="Times New Roman"/>
          <w:spacing w:val="-2"/>
          <w:sz w:val="16"/>
          <w:szCs w:val="16"/>
        </w:rPr>
        <w:t xml:space="preserve"> erlaub</w:t>
      </w:r>
      <w:r w:rsidR="003C12BA" w:rsidRPr="00240FCC">
        <w:rPr>
          <w:rFonts w:ascii="Times New Roman" w:hAnsi="Times New Roman" w:cs="Times New Roman"/>
          <w:spacing w:val="-2"/>
          <w:sz w:val="16"/>
          <w:szCs w:val="16"/>
        </w:rPr>
        <w:t>t</w:t>
      </w:r>
      <w:r w:rsidRPr="00240FCC">
        <w:rPr>
          <w:rFonts w:ascii="Times New Roman" w:hAnsi="Times New Roman" w:cs="Times New Roman"/>
          <w:spacing w:val="-2"/>
          <w:sz w:val="16"/>
          <w:szCs w:val="16"/>
        </w:rPr>
        <w:t xml:space="preserve">, auf freiwilliger Basis von Personen, die bestimmte auf einen unbekannten Täter vermutlich zutreffende Merkmale erfüllen, Körperzellen zu entnehmen, sie molekulargenetisch zu untersuchen und das auf diese Weise erlangte </w:t>
      </w:r>
      <w:r w:rsidR="00054F98" w:rsidRPr="00240FCC">
        <w:rPr>
          <w:rFonts w:ascii="Times New Roman" w:hAnsi="Times New Roman" w:cs="Times New Roman"/>
          <w:spacing w:val="-2"/>
          <w:sz w:val="16"/>
          <w:szCs w:val="16"/>
        </w:rPr>
        <w:t>DNA-</w:t>
      </w:r>
      <w:r w:rsidRPr="00240FCC">
        <w:rPr>
          <w:rFonts w:ascii="Times New Roman" w:hAnsi="Times New Roman" w:cs="Times New Roman"/>
          <w:spacing w:val="-2"/>
          <w:sz w:val="16"/>
          <w:szCs w:val="16"/>
        </w:rPr>
        <w:t>Identifizierungsmuster mit tatrelevantem Spurenmaterial automatisiert abzugleichen.</w:t>
      </w:r>
      <w:r w:rsidR="0003711A" w:rsidRPr="00240FCC">
        <w:rPr>
          <w:rFonts w:ascii="Times New Roman" w:hAnsi="Times New Roman" w:cs="Times New Roman"/>
          <w:spacing w:val="-2"/>
          <w:sz w:val="16"/>
          <w:szCs w:val="16"/>
        </w:rPr>
        <w:t xml:space="preserve"> </w:t>
      </w:r>
      <w:r w:rsidRPr="00240FCC">
        <w:rPr>
          <w:rFonts w:ascii="Times New Roman" w:hAnsi="Times New Roman" w:cs="Times New Roman"/>
          <w:spacing w:val="-2"/>
          <w:sz w:val="16"/>
          <w:szCs w:val="16"/>
        </w:rPr>
        <w:t>Die Durchführung eine</w:t>
      </w:r>
      <w:r w:rsidR="00054F98" w:rsidRPr="00240FCC">
        <w:rPr>
          <w:rFonts w:ascii="Times New Roman" w:hAnsi="Times New Roman" w:cs="Times New Roman"/>
          <w:spacing w:val="-2"/>
          <w:sz w:val="16"/>
          <w:szCs w:val="16"/>
        </w:rPr>
        <w:t>r</w:t>
      </w:r>
      <w:r w:rsidRPr="00240FCC">
        <w:rPr>
          <w:rFonts w:ascii="Times New Roman" w:hAnsi="Times New Roman" w:cs="Times New Roman"/>
          <w:spacing w:val="-2"/>
          <w:sz w:val="16"/>
          <w:szCs w:val="16"/>
        </w:rPr>
        <w:t xml:space="preserve"> </w:t>
      </w:r>
      <w:r w:rsidR="00054F98" w:rsidRPr="00240FCC">
        <w:rPr>
          <w:rFonts w:ascii="Times New Roman" w:hAnsi="Times New Roman" w:cs="Times New Roman"/>
          <w:spacing w:val="-2"/>
          <w:sz w:val="16"/>
          <w:szCs w:val="16"/>
        </w:rPr>
        <w:t>DNA-</w:t>
      </w:r>
      <w:r w:rsidRPr="00240FCC">
        <w:rPr>
          <w:rFonts w:ascii="Times New Roman" w:hAnsi="Times New Roman" w:cs="Times New Roman"/>
          <w:spacing w:val="-2"/>
          <w:sz w:val="16"/>
          <w:szCs w:val="16"/>
        </w:rPr>
        <w:t>Reihen</w:t>
      </w:r>
      <w:r w:rsidR="00054F98" w:rsidRPr="00240FCC">
        <w:rPr>
          <w:rFonts w:ascii="Times New Roman" w:hAnsi="Times New Roman" w:cs="Times New Roman"/>
          <w:spacing w:val="-2"/>
          <w:sz w:val="16"/>
          <w:szCs w:val="16"/>
        </w:rPr>
        <w:t>untersuchung</w:t>
      </w:r>
      <w:r w:rsidRPr="00240FCC">
        <w:rPr>
          <w:rFonts w:ascii="Times New Roman" w:hAnsi="Times New Roman" w:cs="Times New Roman"/>
          <w:spacing w:val="-2"/>
          <w:sz w:val="16"/>
          <w:szCs w:val="16"/>
        </w:rPr>
        <w:t xml:space="preserve"> ist nur bei Vorliegen eines </w:t>
      </w:r>
      <w:r w:rsidRPr="00240FCC">
        <w:rPr>
          <w:rFonts w:ascii="Times New Roman" w:hAnsi="Times New Roman" w:cs="Times New Roman"/>
          <w:b/>
          <w:spacing w:val="-2"/>
          <w:sz w:val="16"/>
          <w:szCs w:val="16"/>
        </w:rPr>
        <w:t>Anfangsverdachts</w:t>
      </w:r>
      <w:r w:rsidRPr="00240FCC">
        <w:rPr>
          <w:rFonts w:ascii="Times New Roman" w:hAnsi="Times New Roman" w:cs="Times New Roman"/>
          <w:spacing w:val="-2"/>
          <w:sz w:val="16"/>
          <w:szCs w:val="16"/>
        </w:rPr>
        <w:t xml:space="preserve"> hinsichtlich eines </w:t>
      </w:r>
      <w:r w:rsidRPr="00240FCC">
        <w:rPr>
          <w:rFonts w:ascii="Times New Roman" w:hAnsi="Times New Roman" w:cs="Times New Roman"/>
          <w:b/>
          <w:spacing w:val="-2"/>
          <w:sz w:val="16"/>
          <w:szCs w:val="16"/>
        </w:rPr>
        <w:t xml:space="preserve">der </w:t>
      </w:r>
      <w:r w:rsidR="00774588" w:rsidRPr="00240FCC">
        <w:rPr>
          <w:rFonts w:ascii="Times New Roman" w:hAnsi="Times New Roman" w:cs="Times New Roman"/>
          <w:b/>
          <w:spacing w:val="-2"/>
          <w:sz w:val="16"/>
          <w:szCs w:val="16"/>
        </w:rPr>
        <w:t xml:space="preserve">in § 81h I 1 StPO </w:t>
      </w:r>
      <w:r w:rsidRPr="00240FCC">
        <w:rPr>
          <w:rFonts w:ascii="Times New Roman" w:hAnsi="Times New Roman" w:cs="Times New Roman"/>
          <w:b/>
          <w:spacing w:val="-2"/>
          <w:sz w:val="16"/>
          <w:szCs w:val="16"/>
        </w:rPr>
        <w:t>genannten Verbrechen</w:t>
      </w:r>
      <w:r w:rsidRPr="00240FCC">
        <w:rPr>
          <w:rFonts w:ascii="Times New Roman" w:hAnsi="Times New Roman" w:cs="Times New Roman"/>
          <w:spacing w:val="-2"/>
          <w:sz w:val="16"/>
          <w:szCs w:val="16"/>
        </w:rPr>
        <w:t xml:space="preserve"> zulässig. Zudem muss der </w:t>
      </w:r>
      <w:r w:rsidRPr="00240FCC">
        <w:rPr>
          <w:rFonts w:ascii="Times New Roman" w:hAnsi="Times New Roman" w:cs="Times New Roman"/>
          <w:b/>
          <w:spacing w:val="-2"/>
          <w:sz w:val="16"/>
          <w:szCs w:val="16"/>
        </w:rPr>
        <w:t>Personenkreis</w:t>
      </w:r>
      <w:r w:rsidRPr="00240FCC">
        <w:rPr>
          <w:rFonts w:ascii="Times New Roman" w:hAnsi="Times New Roman" w:cs="Times New Roman"/>
          <w:spacing w:val="-2"/>
          <w:sz w:val="16"/>
          <w:szCs w:val="16"/>
        </w:rPr>
        <w:t xml:space="preserve">, bei dem die Maßnahme durchgeführt werden soll, deutlich </w:t>
      </w:r>
      <w:r w:rsidRPr="00240FCC">
        <w:rPr>
          <w:rFonts w:ascii="Times New Roman" w:hAnsi="Times New Roman" w:cs="Times New Roman"/>
          <w:b/>
          <w:spacing w:val="-2"/>
          <w:sz w:val="16"/>
          <w:szCs w:val="16"/>
        </w:rPr>
        <w:t>umgrenzt</w:t>
      </w:r>
      <w:r w:rsidRPr="00240FCC">
        <w:rPr>
          <w:rFonts w:ascii="Times New Roman" w:hAnsi="Times New Roman" w:cs="Times New Roman"/>
          <w:spacing w:val="-2"/>
          <w:sz w:val="16"/>
          <w:szCs w:val="16"/>
        </w:rPr>
        <w:t xml:space="preserve"> sein (nach </w:t>
      </w:r>
      <w:r w:rsidR="00054F98" w:rsidRPr="00240FCC">
        <w:rPr>
          <w:rFonts w:ascii="Times New Roman" w:hAnsi="Times New Roman" w:cs="Times New Roman"/>
          <w:spacing w:val="-2"/>
          <w:sz w:val="16"/>
          <w:szCs w:val="16"/>
        </w:rPr>
        <w:t>sog. Prüfungsm</w:t>
      </w:r>
      <w:r w:rsidRPr="00240FCC">
        <w:rPr>
          <w:rFonts w:ascii="Times New Roman" w:hAnsi="Times New Roman" w:cs="Times New Roman"/>
          <w:spacing w:val="-2"/>
          <w:sz w:val="16"/>
          <w:szCs w:val="16"/>
        </w:rPr>
        <w:t>erkmalen wie z.B. Alter, Geschlecht, Wohnort).</w:t>
      </w:r>
      <w:r w:rsidR="00880FD3" w:rsidRPr="00240FCC">
        <w:rPr>
          <w:rFonts w:ascii="Times New Roman" w:hAnsi="Times New Roman" w:cs="Times New Roman"/>
          <w:spacing w:val="-2"/>
          <w:sz w:val="16"/>
          <w:szCs w:val="16"/>
        </w:rPr>
        <w:t xml:space="preserve"> Als </w:t>
      </w:r>
      <w:r w:rsidR="00880FD3" w:rsidRPr="00240FCC">
        <w:rPr>
          <w:rFonts w:ascii="Times New Roman" w:hAnsi="Times New Roman" w:cs="Times New Roman"/>
          <w:b/>
          <w:spacing w:val="-2"/>
          <w:sz w:val="16"/>
          <w:szCs w:val="16"/>
        </w:rPr>
        <w:t>besondere Ausprägung des Verhältnismäßigkeitsgrundsatzes</w:t>
      </w:r>
      <w:r w:rsidR="00880FD3" w:rsidRPr="00240FCC">
        <w:rPr>
          <w:rFonts w:ascii="Times New Roman" w:hAnsi="Times New Roman" w:cs="Times New Roman"/>
          <w:spacing w:val="-2"/>
          <w:sz w:val="16"/>
          <w:szCs w:val="16"/>
        </w:rPr>
        <w:t xml:space="preserve"> sieht §</w:t>
      </w:r>
      <w:r w:rsidR="00054F98" w:rsidRPr="00240FCC">
        <w:rPr>
          <w:rFonts w:ascii="Times New Roman" w:hAnsi="Times New Roman" w:cs="Times New Roman"/>
          <w:spacing w:val="-2"/>
          <w:sz w:val="16"/>
          <w:szCs w:val="16"/>
        </w:rPr>
        <w:t> </w:t>
      </w:r>
      <w:r w:rsidR="00880FD3" w:rsidRPr="00240FCC">
        <w:rPr>
          <w:rFonts w:ascii="Times New Roman" w:hAnsi="Times New Roman" w:cs="Times New Roman"/>
          <w:spacing w:val="-2"/>
          <w:sz w:val="16"/>
          <w:szCs w:val="16"/>
        </w:rPr>
        <w:t xml:space="preserve">81h I </w:t>
      </w:r>
      <w:r w:rsidR="00774588" w:rsidRPr="00240FCC">
        <w:rPr>
          <w:rFonts w:ascii="Times New Roman" w:hAnsi="Times New Roman" w:cs="Times New Roman"/>
          <w:spacing w:val="-2"/>
          <w:sz w:val="16"/>
          <w:szCs w:val="16"/>
        </w:rPr>
        <w:t xml:space="preserve">1 </w:t>
      </w:r>
      <w:r w:rsidR="00880FD3" w:rsidRPr="00240FCC">
        <w:rPr>
          <w:rFonts w:ascii="Times New Roman" w:hAnsi="Times New Roman" w:cs="Times New Roman"/>
          <w:spacing w:val="-2"/>
          <w:sz w:val="16"/>
          <w:szCs w:val="16"/>
        </w:rPr>
        <w:t xml:space="preserve">StPO </w:t>
      </w:r>
      <w:r w:rsidR="00EB7E08" w:rsidRPr="00240FCC">
        <w:rPr>
          <w:rFonts w:ascii="Times New Roman" w:hAnsi="Times New Roman" w:cs="Times New Roman"/>
          <w:spacing w:val="-2"/>
          <w:sz w:val="16"/>
          <w:szCs w:val="16"/>
        </w:rPr>
        <w:t xml:space="preserve">schließlich </w:t>
      </w:r>
      <w:r w:rsidR="00880FD3" w:rsidRPr="00240FCC">
        <w:rPr>
          <w:rFonts w:ascii="Times New Roman" w:hAnsi="Times New Roman" w:cs="Times New Roman"/>
          <w:spacing w:val="-2"/>
          <w:sz w:val="16"/>
          <w:szCs w:val="16"/>
        </w:rPr>
        <w:t xml:space="preserve">vor, dass die Maßnahme </w:t>
      </w:r>
      <w:r w:rsidR="00880FD3" w:rsidRPr="00240FCC">
        <w:rPr>
          <w:rFonts w:ascii="Times New Roman" w:hAnsi="Times New Roman" w:cs="Times New Roman"/>
          <w:b/>
          <w:spacing w:val="-2"/>
          <w:sz w:val="16"/>
          <w:szCs w:val="16"/>
        </w:rPr>
        <w:t>erforderlich</w:t>
      </w:r>
      <w:r w:rsidR="00880FD3" w:rsidRPr="00240FCC">
        <w:rPr>
          <w:rFonts w:ascii="Times New Roman" w:hAnsi="Times New Roman" w:cs="Times New Roman"/>
          <w:spacing w:val="-2"/>
          <w:sz w:val="16"/>
          <w:szCs w:val="16"/>
        </w:rPr>
        <w:t xml:space="preserve"> sein muss, um festzustellen, ob </w:t>
      </w:r>
      <w:r w:rsidR="00054F98" w:rsidRPr="00240FCC">
        <w:rPr>
          <w:rFonts w:ascii="Times New Roman" w:hAnsi="Times New Roman" w:cs="Times New Roman"/>
          <w:spacing w:val="-2"/>
          <w:sz w:val="16"/>
          <w:szCs w:val="16"/>
        </w:rPr>
        <w:t xml:space="preserve">das </w:t>
      </w:r>
      <w:r w:rsidR="00880FD3" w:rsidRPr="00240FCC">
        <w:rPr>
          <w:rFonts w:ascii="Times New Roman" w:hAnsi="Times New Roman" w:cs="Times New Roman"/>
          <w:spacing w:val="-2"/>
          <w:sz w:val="16"/>
          <w:szCs w:val="16"/>
        </w:rPr>
        <w:t>Spurenmaterial von dem betroffenen Personenkreis stammt und dass dieser zahlenmäßig in vertretbarer Relation zur Schwere der Tat stehen muss.</w:t>
      </w:r>
      <w:r w:rsidR="00EB7E08" w:rsidRPr="00240FCC">
        <w:rPr>
          <w:rFonts w:ascii="Times New Roman" w:hAnsi="Times New Roman" w:cs="Times New Roman"/>
          <w:spacing w:val="-2"/>
          <w:sz w:val="16"/>
          <w:szCs w:val="16"/>
        </w:rPr>
        <w:t xml:space="preserve"> Hierdurch hebt der Gesetzgeber den </w:t>
      </w:r>
      <w:r w:rsidR="00EB7E08" w:rsidRPr="00240FCC">
        <w:rPr>
          <w:rFonts w:ascii="Times New Roman" w:hAnsi="Times New Roman" w:cs="Times New Roman"/>
          <w:b/>
          <w:spacing w:val="-2"/>
          <w:sz w:val="16"/>
          <w:szCs w:val="16"/>
        </w:rPr>
        <w:t xml:space="preserve">Ausnahmecharakter </w:t>
      </w:r>
      <w:r w:rsidR="00EB7E08" w:rsidRPr="00240FCC">
        <w:rPr>
          <w:rFonts w:ascii="Times New Roman" w:hAnsi="Times New Roman" w:cs="Times New Roman"/>
          <w:bCs/>
          <w:spacing w:val="-2"/>
          <w:sz w:val="16"/>
          <w:szCs w:val="16"/>
        </w:rPr>
        <w:t>de</w:t>
      </w:r>
      <w:r w:rsidR="00054F98" w:rsidRPr="00240FCC">
        <w:rPr>
          <w:rFonts w:ascii="Times New Roman" w:hAnsi="Times New Roman" w:cs="Times New Roman"/>
          <w:bCs/>
          <w:spacing w:val="-2"/>
          <w:sz w:val="16"/>
          <w:szCs w:val="16"/>
        </w:rPr>
        <w:t>r Maßnahme</w:t>
      </w:r>
      <w:r w:rsidR="00EB7E08" w:rsidRPr="00240FCC">
        <w:rPr>
          <w:rFonts w:ascii="Times New Roman" w:hAnsi="Times New Roman" w:cs="Times New Roman"/>
          <w:b/>
          <w:spacing w:val="-2"/>
          <w:sz w:val="16"/>
          <w:szCs w:val="16"/>
        </w:rPr>
        <w:t xml:space="preserve"> </w:t>
      </w:r>
      <w:r w:rsidR="00EB7E08" w:rsidRPr="00240FCC">
        <w:rPr>
          <w:rFonts w:ascii="Times New Roman" w:hAnsi="Times New Roman" w:cs="Times New Roman"/>
          <w:spacing w:val="-2"/>
          <w:sz w:val="16"/>
          <w:szCs w:val="16"/>
        </w:rPr>
        <w:t>hervor. Die Anordnung kommt somit wegen der poten</w:t>
      </w:r>
      <w:r w:rsidR="005717A6" w:rsidRPr="00240FCC">
        <w:rPr>
          <w:rFonts w:ascii="Times New Roman" w:hAnsi="Times New Roman" w:cs="Times New Roman"/>
          <w:spacing w:val="-2"/>
          <w:sz w:val="16"/>
          <w:szCs w:val="16"/>
        </w:rPr>
        <w:t>z</w:t>
      </w:r>
      <w:r w:rsidR="00EB7E08" w:rsidRPr="00240FCC">
        <w:rPr>
          <w:rFonts w:ascii="Times New Roman" w:hAnsi="Times New Roman" w:cs="Times New Roman"/>
          <w:spacing w:val="-2"/>
          <w:sz w:val="16"/>
          <w:szCs w:val="16"/>
        </w:rPr>
        <w:t xml:space="preserve">iellen Betroffenheit einer Vielzahl von unverdächtigen Personen nur als </w:t>
      </w:r>
      <w:proofErr w:type="spellStart"/>
      <w:r w:rsidR="00EB7E08" w:rsidRPr="00240FCC">
        <w:rPr>
          <w:rFonts w:ascii="Times New Roman" w:hAnsi="Times New Roman" w:cs="Times New Roman"/>
          <w:b/>
          <w:spacing w:val="-2"/>
          <w:sz w:val="16"/>
          <w:szCs w:val="16"/>
        </w:rPr>
        <w:t>ultima</w:t>
      </w:r>
      <w:proofErr w:type="spellEnd"/>
      <w:r w:rsidR="00EB7E08" w:rsidRPr="00240FCC">
        <w:rPr>
          <w:rFonts w:ascii="Times New Roman" w:hAnsi="Times New Roman" w:cs="Times New Roman"/>
          <w:b/>
          <w:spacing w:val="-2"/>
          <w:sz w:val="16"/>
          <w:szCs w:val="16"/>
        </w:rPr>
        <w:t xml:space="preserve"> </w:t>
      </w:r>
      <w:proofErr w:type="spellStart"/>
      <w:r w:rsidR="00EB7E08" w:rsidRPr="00240FCC">
        <w:rPr>
          <w:rFonts w:ascii="Times New Roman" w:hAnsi="Times New Roman" w:cs="Times New Roman"/>
          <w:b/>
          <w:spacing w:val="-2"/>
          <w:sz w:val="16"/>
          <w:szCs w:val="16"/>
        </w:rPr>
        <w:t>ratio</w:t>
      </w:r>
      <w:proofErr w:type="spellEnd"/>
      <w:r w:rsidR="00EB7E08" w:rsidRPr="00240FCC">
        <w:rPr>
          <w:rFonts w:ascii="Times New Roman" w:hAnsi="Times New Roman" w:cs="Times New Roman"/>
          <w:spacing w:val="-2"/>
          <w:sz w:val="16"/>
          <w:szCs w:val="16"/>
        </w:rPr>
        <w:t xml:space="preserve"> in Frage</w:t>
      </w:r>
      <w:r w:rsidR="00774588" w:rsidRPr="00240FCC">
        <w:rPr>
          <w:rFonts w:ascii="Times New Roman" w:hAnsi="Times New Roman" w:cs="Times New Roman"/>
          <w:spacing w:val="-2"/>
          <w:sz w:val="16"/>
          <w:szCs w:val="16"/>
        </w:rPr>
        <w:t xml:space="preserve"> (</w:t>
      </w:r>
      <w:proofErr w:type="spellStart"/>
      <w:r w:rsidR="00774588" w:rsidRPr="00240FCC">
        <w:rPr>
          <w:rFonts w:ascii="Times New Roman" w:hAnsi="Times New Roman" w:cs="Times New Roman"/>
          <w:spacing w:val="-2"/>
          <w:sz w:val="16"/>
          <w:szCs w:val="16"/>
        </w:rPr>
        <w:t>str.</w:t>
      </w:r>
      <w:proofErr w:type="spellEnd"/>
      <w:r w:rsidR="00774588" w:rsidRPr="00240FCC">
        <w:rPr>
          <w:rFonts w:ascii="Times New Roman" w:hAnsi="Times New Roman" w:cs="Times New Roman"/>
          <w:spacing w:val="-2"/>
          <w:sz w:val="16"/>
          <w:szCs w:val="16"/>
        </w:rPr>
        <w:t>)</w:t>
      </w:r>
      <w:r w:rsidR="00EB7E08" w:rsidRPr="00240FCC">
        <w:rPr>
          <w:rFonts w:ascii="Times New Roman" w:hAnsi="Times New Roman" w:cs="Times New Roman"/>
          <w:spacing w:val="-2"/>
          <w:sz w:val="16"/>
          <w:szCs w:val="16"/>
        </w:rPr>
        <w:t>. Durch</w:t>
      </w:r>
      <w:r w:rsidR="00DB6221" w:rsidRPr="00240FCC">
        <w:rPr>
          <w:rFonts w:ascii="Times New Roman" w:hAnsi="Times New Roman" w:cs="Times New Roman"/>
          <w:spacing w:val="-2"/>
          <w:sz w:val="16"/>
          <w:szCs w:val="16"/>
        </w:rPr>
        <w:t xml:space="preserve"> das Gesetz zur effektiveren und praxistauglicheren Ausgestaltung des Strafverfahrens vom 17.8.</w:t>
      </w:r>
      <w:r w:rsidRPr="00240FCC">
        <w:rPr>
          <w:rFonts w:ascii="Times New Roman" w:hAnsi="Times New Roman" w:cs="Times New Roman"/>
          <w:spacing w:val="-2"/>
          <w:sz w:val="16"/>
          <w:szCs w:val="16"/>
        </w:rPr>
        <w:t>20</w:t>
      </w:r>
      <w:r w:rsidR="00DB6221" w:rsidRPr="00240FCC">
        <w:rPr>
          <w:rFonts w:ascii="Times New Roman" w:hAnsi="Times New Roman" w:cs="Times New Roman"/>
          <w:spacing w:val="-2"/>
          <w:sz w:val="16"/>
          <w:szCs w:val="16"/>
        </w:rPr>
        <w:t>1</w:t>
      </w:r>
      <w:r w:rsidR="00856657" w:rsidRPr="00240FCC">
        <w:rPr>
          <w:rFonts w:ascii="Times New Roman" w:hAnsi="Times New Roman" w:cs="Times New Roman"/>
          <w:spacing w:val="-2"/>
          <w:sz w:val="16"/>
          <w:szCs w:val="16"/>
        </w:rPr>
        <w:t>7</w:t>
      </w:r>
      <w:r w:rsidR="00DB6221" w:rsidRPr="00240FCC">
        <w:rPr>
          <w:rFonts w:ascii="Times New Roman" w:hAnsi="Times New Roman" w:cs="Times New Roman"/>
          <w:spacing w:val="-2"/>
          <w:sz w:val="16"/>
          <w:szCs w:val="16"/>
        </w:rPr>
        <w:t xml:space="preserve"> wurde </w:t>
      </w:r>
      <w:r w:rsidR="002C7075" w:rsidRPr="00240FCC">
        <w:rPr>
          <w:rFonts w:ascii="Times New Roman" w:hAnsi="Times New Roman" w:cs="Times New Roman"/>
          <w:spacing w:val="-2"/>
          <w:sz w:val="16"/>
          <w:szCs w:val="16"/>
        </w:rPr>
        <w:t>ferner</w:t>
      </w:r>
      <w:r w:rsidR="00DB6221" w:rsidRPr="00240FCC">
        <w:rPr>
          <w:rFonts w:ascii="Times New Roman" w:hAnsi="Times New Roman" w:cs="Times New Roman"/>
          <w:spacing w:val="-2"/>
          <w:sz w:val="16"/>
          <w:szCs w:val="16"/>
        </w:rPr>
        <w:t xml:space="preserve"> der Untersuchungsumfang nach §</w:t>
      </w:r>
      <w:r w:rsidR="00774588" w:rsidRPr="00240FCC">
        <w:rPr>
          <w:rFonts w:ascii="Times New Roman" w:hAnsi="Times New Roman" w:cs="Times New Roman"/>
          <w:spacing w:val="-2"/>
          <w:sz w:val="16"/>
          <w:szCs w:val="16"/>
        </w:rPr>
        <w:t> </w:t>
      </w:r>
      <w:r w:rsidR="00DB6221" w:rsidRPr="00240FCC">
        <w:rPr>
          <w:rFonts w:ascii="Times New Roman" w:hAnsi="Times New Roman" w:cs="Times New Roman"/>
          <w:spacing w:val="-2"/>
          <w:sz w:val="16"/>
          <w:szCs w:val="16"/>
        </w:rPr>
        <w:t>81h</w:t>
      </w:r>
      <w:r w:rsidR="00774588" w:rsidRPr="00240FCC">
        <w:rPr>
          <w:rFonts w:ascii="Times New Roman" w:hAnsi="Times New Roman" w:cs="Times New Roman"/>
          <w:spacing w:val="-2"/>
          <w:sz w:val="16"/>
          <w:szCs w:val="16"/>
        </w:rPr>
        <w:t> </w:t>
      </w:r>
      <w:r w:rsidR="00DB6221" w:rsidRPr="00240FCC">
        <w:rPr>
          <w:rFonts w:ascii="Times New Roman" w:hAnsi="Times New Roman" w:cs="Times New Roman"/>
          <w:spacing w:val="-2"/>
          <w:sz w:val="16"/>
          <w:szCs w:val="16"/>
        </w:rPr>
        <w:t xml:space="preserve">I </w:t>
      </w:r>
      <w:r w:rsidR="00774588" w:rsidRPr="00240FCC">
        <w:rPr>
          <w:rFonts w:ascii="Times New Roman" w:hAnsi="Times New Roman" w:cs="Times New Roman"/>
          <w:spacing w:val="-2"/>
          <w:sz w:val="16"/>
          <w:szCs w:val="16"/>
        </w:rPr>
        <w:t xml:space="preserve">1 </w:t>
      </w:r>
      <w:proofErr w:type="spellStart"/>
      <w:r w:rsidR="00DB6221" w:rsidRPr="00240FCC">
        <w:rPr>
          <w:rFonts w:ascii="Times New Roman" w:hAnsi="Times New Roman" w:cs="Times New Roman"/>
          <w:spacing w:val="-2"/>
          <w:sz w:val="16"/>
          <w:szCs w:val="16"/>
        </w:rPr>
        <w:t>Hs</w:t>
      </w:r>
      <w:proofErr w:type="spellEnd"/>
      <w:r w:rsidR="00DB6221" w:rsidRPr="00240FCC">
        <w:rPr>
          <w:rFonts w:ascii="Times New Roman" w:hAnsi="Times New Roman" w:cs="Times New Roman"/>
          <w:spacing w:val="-2"/>
          <w:sz w:val="16"/>
          <w:szCs w:val="16"/>
        </w:rPr>
        <w:t>.</w:t>
      </w:r>
      <w:r w:rsidR="00774588" w:rsidRPr="00240FCC">
        <w:rPr>
          <w:rFonts w:ascii="Times New Roman" w:hAnsi="Times New Roman" w:cs="Times New Roman"/>
          <w:spacing w:val="-2"/>
          <w:sz w:val="16"/>
          <w:szCs w:val="16"/>
        </w:rPr>
        <w:t> </w:t>
      </w:r>
      <w:r w:rsidR="00DB6221" w:rsidRPr="00240FCC">
        <w:rPr>
          <w:rFonts w:ascii="Times New Roman" w:hAnsi="Times New Roman" w:cs="Times New Roman"/>
          <w:spacing w:val="-2"/>
          <w:sz w:val="16"/>
          <w:szCs w:val="16"/>
        </w:rPr>
        <w:t xml:space="preserve">2 StPO erweitert: </w:t>
      </w:r>
      <w:r w:rsidR="007C2CBE" w:rsidRPr="00240FCC">
        <w:rPr>
          <w:rFonts w:ascii="Times New Roman" w:hAnsi="Times New Roman" w:cs="Times New Roman"/>
          <w:spacing w:val="-2"/>
          <w:sz w:val="16"/>
          <w:szCs w:val="16"/>
        </w:rPr>
        <w:t xml:space="preserve">Statt der Feststellung „ob das Spurenmaterial von diesen Personen stammt“ </w:t>
      </w:r>
      <w:proofErr w:type="spellStart"/>
      <w:r w:rsidR="007C2CBE" w:rsidRPr="00240FCC">
        <w:rPr>
          <w:rFonts w:ascii="Times New Roman" w:hAnsi="Times New Roman" w:cs="Times New Roman"/>
          <w:spacing w:val="-2"/>
          <w:sz w:val="16"/>
          <w:szCs w:val="16"/>
        </w:rPr>
        <w:t>i.S.e</w:t>
      </w:r>
      <w:proofErr w:type="spellEnd"/>
      <w:r w:rsidR="007C2CBE" w:rsidRPr="00240FCC">
        <w:rPr>
          <w:rFonts w:ascii="Times New Roman" w:hAnsi="Times New Roman" w:cs="Times New Roman"/>
          <w:spacing w:val="-2"/>
          <w:sz w:val="16"/>
          <w:szCs w:val="16"/>
        </w:rPr>
        <w:t>. „Hit-/</w:t>
      </w:r>
      <w:proofErr w:type="spellStart"/>
      <w:r w:rsidR="007C2CBE" w:rsidRPr="00240FCC">
        <w:rPr>
          <w:rFonts w:ascii="Times New Roman" w:hAnsi="Times New Roman" w:cs="Times New Roman"/>
          <w:spacing w:val="-2"/>
          <w:sz w:val="16"/>
          <w:szCs w:val="16"/>
        </w:rPr>
        <w:t>No</w:t>
      </w:r>
      <w:proofErr w:type="spellEnd"/>
      <w:r w:rsidR="007C2CBE" w:rsidRPr="00240FCC">
        <w:rPr>
          <w:rFonts w:ascii="Times New Roman" w:hAnsi="Times New Roman" w:cs="Times New Roman"/>
          <w:spacing w:val="-2"/>
          <w:sz w:val="16"/>
          <w:szCs w:val="16"/>
        </w:rPr>
        <w:t xml:space="preserve">-hit-Verfahrens“, </w:t>
      </w:r>
      <w:r w:rsidR="00A4092E" w:rsidRPr="00240FCC">
        <w:rPr>
          <w:rFonts w:ascii="Times New Roman" w:hAnsi="Times New Roman" w:cs="Times New Roman"/>
          <w:spacing w:val="-2"/>
          <w:sz w:val="16"/>
          <w:szCs w:val="16"/>
        </w:rPr>
        <w:t xml:space="preserve">darf </w:t>
      </w:r>
      <w:r w:rsidR="007C2CBE" w:rsidRPr="00240FCC">
        <w:rPr>
          <w:rFonts w:ascii="Times New Roman" w:hAnsi="Times New Roman" w:cs="Times New Roman"/>
          <w:spacing w:val="-2"/>
          <w:sz w:val="16"/>
          <w:szCs w:val="16"/>
        </w:rPr>
        <w:t>nun auch untersucht werde</w:t>
      </w:r>
      <w:r w:rsidR="00A4092E" w:rsidRPr="00240FCC">
        <w:rPr>
          <w:rFonts w:ascii="Times New Roman" w:hAnsi="Times New Roman" w:cs="Times New Roman"/>
          <w:spacing w:val="-2"/>
          <w:sz w:val="16"/>
          <w:szCs w:val="16"/>
        </w:rPr>
        <w:t>n</w:t>
      </w:r>
      <w:r w:rsidR="007C2CBE" w:rsidRPr="00240FCC">
        <w:rPr>
          <w:rFonts w:ascii="Times New Roman" w:hAnsi="Times New Roman" w:cs="Times New Roman"/>
          <w:spacing w:val="-2"/>
          <w:sz w:val="16"/>
          <w:szCs w:val="16"/>
        </w:rPr>
        <w:t xml:space="preserve">, ob das Spurenmaterial </w:t>
      </w:r>
      <w:r w:rsidR="00A4092E" w:rsidRPr="00240FCC">
        <w:rPr>
          <w:rFonts w:ascii="Times New Roman" w:hAnsi="Times New Roman" w:cs="Times New Roman"/>
          <w:sz w:val="16"/>
          <w:szCs w:val="16"/>
        </w:rPr>
        <w:t>„von diesen Personen oder von ihren Verwandten in gerader Linie oder in der Seitenlinie bis zum dritten Grad stammt“</w:t>
      </w:r>
      <w:r w:rsidR="007C2CBE" w:rsidRPr="00240FCC">
        <w:rPr>
          <w:rFonts w:ascii="Times New Roman" w:hAnsi="Times New Roman" w:cs="Times New Roman"/>
          <w:spacing w:val="-2"/>
          <w:sz w:val="16"/>
          <w:szCs w:val="16"/>
        </w:rPr>
        <w:t xml:space="preserve">. </w:t>
      </w:r>
      <w:r w:rsidR="001629B7" w:rsidRPr="00240FCC">
        <w:rPr>
          <w:rFonts w:ascii="Times New Roman" w:hAnsi="Times New Roman" w:cs="Times New Roman"/>
          <w:spacing w:val="-2"/>
          <w:sz w:val="16"/>
          <w:szCs w:val="16"/>
        </w:rPr>
        <w:t xml:space="preserve">Wenn dies der Fall ist und die genetisch ähnliche Probe </w:t>
      </w:r>
      <w:r w:rsidR="00240FCC">
        <w:rPr>
          <w:rFonts w:ascii="Times New Roman" w:hAnsi="Times New Roman" w:cs="Times New Roman"/>
          <w:spacing w:val="-2"/>
          <w:sz w:val="16"/>
          <w:szCs w:val="16"/>
        </w:rPr>
        <w:t>ent</w:t>
      </w:r>
      <w:r w:rsidR="001629B7" w:rsidRPr="00240FCC">
        <w:rPr>
          <w:rFonts w:ascii="Times New Roman" w:hAnsi="Times New Roman" w:cs="Times New Roman"/>
          <w:spacing w:val="-2"/>
          <w:sz w:val="16"/>
          <w:szCs w:val="16"/>
        </w:rPr>
        <w:t xml:space="preserve">anonymisiert wurde, kann </w:t>
      </w:r>
      <w:r w:rsidR="00774588" w:rsidRPr="00240FCC">
        <w:rPr>
          <w:rFonts w:ascii="Times New Roman" w:hAnsi="Times New Roman" w:cs="Times New Roman"/>
          <w:spacing w:val="-2"/>
          <w:sz w:val="16"/>
          <w:szCs w:val="16"/>
        </w:rPr>
        <w:t>im verwand</w:t>
      </w:r>
      <w:r w:rsidR="00240FCC">
        <w:rPr>
          <w:rFonts w:ascii="Times New Roman" w:hAnsi="Times New Roman" w:cs="Times New Roman"/>
          <w:spacing w:val="-2"/>
          <w:sz w:val="16"/>
          <w:szCs w:val="16"/>
        </w:rPr>
        <w:t>t</w:t>
      </w:r>
      <w:r w:rsidR="00774588" w:rsidRPr="00240FCC">
        <w:rPr>
          <w:rFonts w:ascii="Times New Roman" w:hAnsi="Times New Roman" w:cs="Times New Roman"/>
          <w:spacing w:val="-2"/>
          <w:sz w:val="16"/>
          <w:szCs w:val="16"/>
        </w:rPr>
        <w:t xml:space="preserve">schaftlichen Umfeld des Probengebers ermittelt werden und womöglich </w:t>
      </w:r>
      <w:r w:rsidR="001629B7" w:rsidRPr="00240FCC">
        <w:rPr>
          <w:rFonts w:ascii="Times New Roman" w:hAnsi="Times New Roman" w:cs="Times New Roman"/>
          <w:spacing w:val="-2"/>
          <w:sz w:val="16"/>
          <w:szCs w:val="16"/>
        </w:rPr>
        <w:t xml:space="preserve">gegen einen konkreten </w:t>
      </w:r>
      <w:r w:rsidR="00774588" w:rsidRPr="00240FCC">
        <w:rPr>
          <w:rFonts w:ascii="Times New Roman" w:hAnsi="Times New Roman" w:cs="Times New Roman"/>
          <w:spacing w:val="-2"/>
          <w:sz w:val="16"/>
          <w:szCs w:val="16"/>
        </w:rPr>
        <w:t>Verwandten</w:t>
      </w:r>
      <w:r w:rsidR="001629B7" w:rsidRPr="00240FCC">
        <w:rPr>
          <w:rFonts w:ascii="Times New Roman" w:hAnsi="Times New Roman" w:cs="Times New Roman"/>
          <w:spacing w:val="-2"/>
          <w:sz w:val="16"/>
          <w:szCs w:val="16"/>
        </w:rPr>
        <w:t xml:space="preserve"> eine DNA-Analyse nach Maßgabe der §§</w:t>
      </w:r>
      <w:r w:rsidR="00774588" w:rsidRPr="00240FCC">
        <w:rPr>
          <w:rFonts w:ascii="Times New Roman" w:hAnsi="Times New Roman" w:cs="Times New Roman"/>
          <w:spacing w:val="-2"/>
          <w:sz w:val="16"/>
          <w:szCs w:val="16"/>
        </w:rPr>
        <w:t> </w:t>
      </w:r>
      <w:r w:rsidR="001629B7" w:rsidRPr="00240FCC">
        <w:rPr>
          <w:rFonts w:ascii="Times New Roman" w:hAnsi="Times New Roman" w:cs="Times New Roman"/>
          <w:spacing w:val="-2"/>
          <w:sz w:val="16"/>
          <w:szCs w:val="16"/>
        </w:rPr>
        <w:t xml:space="preserve">81a, e StPO angeordnet werden, wenn gegen ihn </w:t>
      </w:r>
      <w:r w:rsidR="00A4092E" w:rsidRPr="00240FCC">
        <w:rPr>
          <w:rFonts w:ascii="Times New Roman" w:hAnsi="Times New Roman" w:cs="Times New Roman"/>
          <w:spacing w:val="-2"/>
          <w:sz w:val="16"/>
          <w:szCs w:val="16"/>
        </w:rPr>
        <w:t xml:space="preserve">nun </w:t>
      </w:r>
      <w:r w:rsidR="001629B7" w:rsidRPr="00240FCC">
        <w:rPr>
          <w:rFonts w:ascii="Times New Roman" w:hAnsi="Times New Roman" w:cs="Times New Roman"/>
          <w:spacing w:val="-2"/>
          <w:sz w:val="16"/>
          <w:szCs w:val="16"/>
        </w:rPr>
        <w:t xml:space="preserve">ein </w:t>
      </w:r>
      <w:r w:rsidR="00A94813" w:rsidRPr="00240FCC">
        <w:rPr>
          <w:rFonts w:ascii="Times New Roman" w:hAnsi="Times New Roman" w:cs="Times New Roman"/>
          <w:spacing w:val="-2"/>
          <w:sz w:val="16"/>
          <w:szCs w:val="16"/>
        </w:rPr>
        <w:t>hinreichender Verdacht besteht.</w:t>
      </w:r>
      <w:bookmarkStart w:id="0" w:name="Y-400-W-beckok-G-StPO-P-81h-RN-5"/>
      <w:bookmarkEnd w:id="0"/>
      <w:r w:rsidR="00296EEF" w:rsidRPr="00240FCC">
        <w:rPr>
          <w:rFonts w:ascii="Times New Roman" w:hAnsi="Times New Roman" w:cs="Times New Roman"/>
          <w:spacing w:val="-2"/>
          <w:sz w:val="16"/>
          <w:szCs w:val="16"/>
        </w:rPr>
        <w:t xml:space="preserve"> </w:t>
      </w:r>
      <w:r w:rsidR="00EE393D" w:rsidRPr="00240FCC">
        <w:rPr>
          <w:rFonts w:ascii="Times New Roman" w:hAnsi="Times New Roman" w:cs="Times New Roman"/>
          <w:spacing w:val="-2"/>
          <w:sz w:val="16"/>
          <w:szCs w:val="16"/>
        </w:rPr>
        <w:t>Erforderlich sind ferner</w:t>
      </w:r>
      <w:r w:rsidR="00E73F7B" w:rsidRPr="00240FCC">
        <w:rPr>
          <w:rFonts w:ascii="Times New Roman" w:hAnsi="Times New Roman" w:cs="Times New Roman"/>
          <w:spacing w:val="-2"/>
          <w:sz w:val="16"/>
          <w:szCs w:val="16"/>
        </w:rPr>
        <w:t xml:space="preserve"> </w:t>
      </w:r>
      <w:r w:rsidR="00E73F7B" w:rsidRPr="00240FCC">
        <w:rPr>
          <w:rFonts w:ascii="Times New Roman" w:hAnsi="Times New Roman" w:cs="Times New Roman"/>
          <w:b/>
          <w:spacing w:val="-2"/>
          <w:sz w:val="16"/>
          <w:szCs w:val="16"/>
        </w:rPr>
        <w:t>eine Einwilligung der Betroffenen</w:t>
      </w:r>
      <w:r w:rsidR="00E73F7B" w:rsidRPr="00240FCC">
        <w:rPr>
          <w:rFonts w:ascii="Times New Roman" w:hAnsi="Times New Roman" w:cs="Times New Roman"/>
          <w:spacing w:val="-2"/>
          <w:sz w:val="16"/>
          <w:szCs w:val="16"/>
        </w:rPr>
        <w:t xml:space="preserve"> und eine </w:t>
      </w:r>
      <w:r w:rsidR="00E73F7B" w:rsidRPr="00240FCC">
        <w:rPr>
          <w:rFonts w:ascii="Times New Roman" w:hAnsi="Times New Roman" w:cs="Times New Roman"/>
          <w:b/>
          <w:spacing w:val="-2"/>
          <w:sz w:val="16"/>
          <w:szCs w:val="16"/>
        </w:rPr>
        <w:t>schriftliche gerichtliche Anordnung</w:t>
      </w:r>
      <w:r w:rsidR="00E73F7B" w:rsidRPr="00240FCC">
        <w:rPr>
          <w:rFonts w:ascii="Times New Roman" w:hAnsi="Times New Roman" w:cs="Times New Roman"/>
          <w:spacing w:val="-2"/>
          <w:sz w:val="16"/>
          <w:szCs w:val="16"/>
        </w:rPr>
        <w:t xml:space="preserve"> (sog. doppelte Absicherung)</w:t>
      </w:r>
      <w:r w:rsidR="00E3688C" w:rsidRPr="00240FCC">
        <w:rPr>
          <w:rFonts w:ascii="Times New Roman" w:hAnsi="Times New Roman" w:cs="Times New Roman"/>
          <w:spacing w:val="-2"/>
          <w:sz w:val="16"/>
          <w:szCs w:val="16"/>
        </w:rPr>
        <w:t>;</w:t>
      </w:r>
      <w:r w:rsidR="00E73F7B" w:rsidRPr="00240FCC">
        <w:rPr>
          <w:rFonts w:ascii="Times New Roman" w:hAnsi="Times New Roman" w:cs="Times New Roman"/>
          <w:spacing w:val="-2"/>
          <w:sz w:val="16"/>
          <w:szCs w:val="16"/>
        </w:rPr>
        <w:t xml:space="preserve"> vgl. § 81h I, II, IV 1 StPO. </w:t>
      </w:r>
      <w:r w:rsidR="00150176" w:rsidRPr="00240FCC">
        <w:rPr>
          <w:rFonts w:ascii="Times New Roman" w:hAnsi="Times New Roman" w:cs="Times New Roman"/>
          <w:spacing w:val="-2"/>
          <w:sz w:val="16"/>
          <w:szCs w:val="16"/>
        </w:rPr>
        <w:t xml:space="preserve">§ 81h StPO betrifft also nur die </w:t>
      </w:r>
      <w:r w:rsidR="00150176" w:rsidRPr="00240FCC">
        <w:rPr>
          <w:rFonts w:ascii="Times New Roman" w:hAnsi="Times New Roman" w:cs="Times New Roman"/>
          <w:b/>
          <w:spacing w:val="-2"/>
          <w:sz w:val="16"/>
          <w:szCs w:val="16"/>
        </w:rPr>
        <w:t xml:space="preserve">freiwilligen </w:t>
      </w:r>
      <w:r w:rsidR="009868EA" w:rsidRPr="00240FCC">
        <w:rPr>
          <w:rFonts w:ascii="Times New Roman" w:hAnsi="Times New Roman" w:cs="Times New Roman"/>
          <w:spacing w:val="-2"/>
          <w:sz w:val="16"/>
          <w:szCs w:val="16"/>
        </w:rPr>
        <w:t>Reihenuntersuchungen</w:t>
      </w:r>
      <w:r w:rsidR="00150176" w:rsidRPr="00240FCC">
        <w:rPr>
          <w:rFonts w:ascii="Times New Roman" w:hAnsi="Times New Roman" w:cs="Times New Roman"/>
          <w:spacing w:val="-2"/>
          <w:sz w:val="16"/>
          <w:szCs w:val="16"/>
        </w:rPr>
        <w:t>.</w:t>
      </w:r>
      <w:r w:rsidR="007C2CBE" w:rsidRPr="00240FCC">
        <w:rPr>
          <w:rFonts w:ascii="Times New Roman" w:hAnsi="Times New Roman" w:cs="Times New Roman"/>
          <w:spacing w:val="-2"/>
          <w:sz w:val="16"/>
          <w:szCs w:val="16"/>
        </w:rPr>
        <w:t xml:space="preserve"> </w:t>
      </w:r>
      <w:r w:rsidR="00C972EB" w:rsidRPr="00240FCC">
        <w:rPr>
          <w:rFonts w:ascii="Times New Roman" w:hAnsi="Times New Roman" w:cs="Times New Roman"/>
          <w:spacing w:val="-2"/>
          <w:sz w:val="16"/>
          <w:szCs w:val="16"/>
        </w:rPr>
        <w:t xml:space="preserve">Eine </w:t>
      </w:r>
      <w:r w:rsidR="00C972EB" w:rsidRPr="00240FCC">
        <w:rPr>
          <w:rFonts w:ascii="Times New Roman" w:hAnsi="Times New Roman" w:cs="Times New Roman"/>
          <w:b/>
          <w:spacing w:val="-2"/>
          <w:sz w:val="16"/>
          <w:szCs w:val="16"/>
        </w:rPr>
        <w:t>Einwilligung</w:t>
      </w:r>
      <w:r w:rsidR="00C972EB" w:rsidRPr="00240FCC">
        <w:rPr>
          <w:rFonts w:ascii="Times New Roman" w:hAnsi="Times New Roman" w:cs="Times New Roman"/>
          <w:spacing w:val="-2"/>
          <w:sz w:val="16"/>
          <w:szCs w:val="16"/>
        </w:rPr>
        <w:t xml:space="preserve"> ist </w:t>
      </w:r>
      <w:r w:rsidR="00C972EB" w:rsidRPr="00240FCC">
        <w:rPr>
          <w:rFonts w:ascii="Times New Roman" w:hAnsi="Times New Roman" w:cs="Times New Roman"/>
          <w:b/>
          <w:spacing w:val="-2"/>
          <w:sz w:val="16"/>
          <w:szCs w:val="16"/>
        </w:rPr>
        <w:t>unwirksam</w:t>
      </w:r>
      <w:r w:rsidR="00C972EB" w:rsidRPr="00240FCC">
        <w:rPr>
          <w:rFonts w:ascii="Times New Roman" w:hAnsi="Times New Roman" w:cs="Times New Roman"/>
          <w:spacing w:val="-2"/>
          <w:sz w:val="16"/>
          <w:szCs w:val="16"/>
        </w:rPr>
        <w:t xml:space="preserve">, wenn dem Betroffenen aufgrund einer </w:t>
      </w:r>
      <w:r w:rsidR="00C972EB" w:rsidRPr="00240FCC">
        <w:rPr>
          <w:rFonts w:ascii="Times New Roman" w:hAnsi="Times New Roman" w:cs="Times New Roman"/>
          <w:b/>
          <w:spacing w:val="-2"/>
          <w:sz w:val="16"/>
          <w:szCs w:val="16"/>
        </w:rPr>
        <w:t>Zwangslage</w:t>
      </w:r>
      <w:r w:rsidR="00C972EB" w:rsidRPr="00240FCC">
        <w:rPr>
          <w:rFonts w:ascii="Times New Roman" w:hAnsi="Times New Roman" w:cs="Times New Roman"/>
          <w:spacing w:val="-2"/>
          <w:sz w:val="16"/>
          <w:szCs w:val="16"/>
        </w:rPr>
        <w:t xml:space="preserve"> keine wirkliche Wahlfreiheit verbleibt. Eine solche Zwangslage ist bei DNA-Reihenuntersuchungen denkbar, soweit potenzielle Teilnehmer </w:t>
      </w:r>
      <w:r w:rsidR="009868EA" w:rsidRPr="00240FCC">
        <w:rPr>
          <w:rFonts w:ascii="Times New Roman" w:hAnsi="Times New Roman" w:cs="Times New Roman"/>
          <w:spacing w:val="-2"/>
          <w:sz w:val="16"/>
          <w:szCs w:val="16"/>
        </w:rPr>
        <w:t>der Maßnahme</w:t>
      </w:r>
      <w:r w:rsidR="00C972EB" w:rsidRPr="00240FCC">
        <w:rPr>
          <w:rFonts w:ascii="Times New Roman" w:hAnsi="Times New Roman" w:cs="Times New Roman"/>
          <w:spacing w:val="-2"/>
          <w:sz w:val="16"/>
          <w:szCs w:val="16"/>
        </w:rPr>
        <w:t xml:space="preserve"> damit rechnen müssten, gerade durch die Nichtteilnahme den Verdacht auf sich zu lenken</w:t>
      </w:r>
      <w:r w:rsidR="007965AE" w:rsidRPr="00240FCC">
        <w:rPr>
          <w:rFonts w:ascii="Times New Roman" w:hAnsi="Times New Roman" w:cs="Times New Roman"/>
          <w:spacing w:val="-2"/>
          <w:sz w:val="16"/>
          <w:szCs w:val="16"/>
        </w:rPr>
        <w:t xml:space="preserve">. </w:t>
      </w:r>
      <w:r w:rsidR="00E73F7B" w:rsidRPr="00240FCC">
        <w:rPr>
          <w:rFonts w:ascii="Times New Roman" w:hAnsi="Times New Roman" w:cs="Times New Roman"/>
          <w:spacing w:val="-2"/>
          <w:sz w:val="16"/>
          <w:szCs w:val="16"/>
        </w:rPr>
        <w:t>Demnach</w:t>
      </w:r>
      <w:r w:rsidR="007965AE" w:rsidRPr="00240FCC">
        <w:rPr>
          <w:rFonts w:ascii="Times New Roman" w:hAnsi="Times New Roman" w:cs="Times New Roman"/>
          <w:spacing w:val="-2"/>
          <w:sz w:val="16"/>
          <w:szCs w:val="16"/>
        </w:rPr>
        <w:t xml:space="preserve"> kann eine Einwilligung in diesem Fall nur wirksam sein, wenn </w:t>
      </w:r>
      <w:r w:rsidR="00774588" w:rsidRPr="00240FCC">
        <w:rPr>
          <w:rFonts w:ascii="Times New Roman" w:hAnsi="Times New Roman" w:cs="Times New Roman"/>
          <w:spacing w:val="-2"/>
          <w:sz w:val="16"/>
          <w:szCs w:val="16"/>
        </w:rPr>
        <w:t>die Nichtteilnahme</w:t>
      </w:r>
      <w:r w:rsidR="007965AE" w:rsidRPr="00240FCC">
        <w:rPr>
          <w:rFonts w:ascii="Times New Roman" w:hAnsi="Times New Roman" w:cs="Times New Roman"/>
          <w:spacing w:val="-2"/>
          <w:sz w:val="16"/>
          <w:szCs w:val="16"/>
        </w:rPr>
        <w:t xml:space="preserve"> für sich genommen keinen Verdacht begründet. </w:t>
      </w:r>
      <w:r w:rsidR="007965AE" w:rsidRPr="00240FCC">
        <w:rPr>
          <w:rFonts w:ascii="Times New Roman" w:hAnsi="Times New Roman" w:cs="Times New Roman"/>
          <w:sz w:val="16"/>
          <w:szCs w:val="16"/>
        </w:rPr>
        <w:t xml:space="preserve">Wenn eine </w:t>
      </w:r>
      <w:r w:rsidR="007965AE" w:rsidRPr="00240FCC">
        <w:rPr>
          <w:rFonts w:ascii="Times New Roman" w:hAnsi="Times New Roman" w:cs="Times New Roman"/>
          <w:b/>
          <w:sz w:val="16"/>
          <w:szCs w:val="16"/>
        </w:rPr>
        <w:t>Einwilligung</w:t>
      </w:r>
      <w:r w:rsidR="007965AE" w:rsidRPr="00240FCC">
        <w:rPr>
          <w:rFonts w:ascii="Times New Roman" w:hAnsi="Times New Roman" w:cs="Times New Roman"/>
          <w:sz w:val="16"/>
          <w:szCs w:val="16"/>
        </w:rPr>
        <w:t xml:space="preserve"> </w:t>
      </w:r>
      <w:r w:rsidR="007965AE" w:rsidRPr="00240FCC">
        <w:rPr>
          <w:rFonts w:ascii="Times New Roman" w:hAnsi="Times New Roman" w:cs="Times New Roman"/>
          <w:b/>
          <w:sz w:val="16"/>
          <w:szCs w:val="16"/>
        </w:rPr>
        <w:t>versagt</w:t>
      </w:r>
      <w:r w:rsidR="007965AE" w:rsidRPr="00240FCC">
        <w:rPr>
          <w:rFonts w:ascii="Times New Roman" w:hAnsi="Times New Roman" w:cs="Times New Roman"/>
          <w:sz w:val="16"/>
          <w:szCs w:val="16"/>
        </w:rPr>
        <w:t xml:space="preserve"> wird, dürfen hieraus keine Schlüsse gezogen werden (</w:t>
      </w:r>
      <w:r w:rsidR="00F6343F" w:rsidRPr="00240FCC">
        <w:rPr>
          <w:rFonts w:ascii="Times New Roman" w:hAnsi="Times New Roman" w:cs="Times New Roman"/>
          <w:sz w:val="16"/>
          <w:szCs w:val="16"/>
        </w:rPr>
        <w:t>BGH</w:t>
      </w:r>
      <w:r w:rsidR="004E7BBE" w:rsidRPr="00240FCC">
        <w:rPr>
          <w:rFonts w:ascii="Times New Roman" w:hAnsi="Times New Roman" w:cs="Times New Roman"/>
          <w:sz w:val="16"/>
          <w:szCs w:val="16"/>
        </w:rPr>
        <w:t>St 49, 56</w:t>
      </w:r>
      <w:r w:rsidR="00E73F7B" w:rsidRPr="00240FCC">
        <w:rPr>
          <w:rFonts w:ascii="Times New Roman" w:hAnsi="Times New Roman" w:cs="Times New Roman"/>
          <w:sz w:val="16"/>
          <w:szCs w:val="16"/>
        </w:rPr>
        <w:t xml:space="preserve">). </w:t>
      </w:r>
      <w:r w:rsidR="003161B5" w:rsidRPr="00240FCC">
        <w:rPr>
          <w:rFonts w:ascii="Times New Roman" w:hAnsi="Times New Roman" w:cs="Times New Roman"/>
          <w:sz w:val="16"/>
          <w:szCs w:val="16"/>
        </w:rPr>
        <w:t xml:space="preserve">Es ist </w:t>
      </w:r>
      <w:proofErr w:type="spellStart"/>
      <w:r w:rsidR="003161B5" w:rsidRPr="00240FCC">
        <w:rPr>
          <w:rFonts w:ascii="Times New Roman" w:hAnsi="Times New Roman" w:cs="Times New Roman"/>
          <w:sz w:val="16"/>
          <w:szCs w:val="16"/>
        </w:rPr>
        <w:t>str.</w:t>
      </w:r>
      <w:proofErr w:type="spellEnd"/>
      <w:r w:rsidR="003161B5" w:rsidRPr="00240FCC">
        <w:rPr>
          <w:rFonts w:ascii="Times New Roman" w:hAnsi="Times New Roman" w:cs="Times New Roman"/>
          <w:sz w:val="16"/>
          <w:szCs w:val="16"/>
        </w:rPr>
        <w:t>, ob e</w:t>
      </w:r>
      <w:r w:rsidR="00E73F7B" w:rsidRPr="00240FCC">
        <w:rPr>
          <w:rFonts w:ascii="Times New Roman" w:hAnsi="Times New Roman" w:cs="Times New Roman"/>
          <w:sz w:val="16"/>
          <w:szCs w:val="16"/>
        </w:rPr>
        <w:t xml:space="preserve">ine </w:t>
      </w:r>
      <w:r w:rsidR="00E73F7B" w:rsidRPr="00240FCC">
        <w:rPr>
          <w:rFonts w:ascii="Times New Roman" w:hAnsi="Times New Roman" w:cs="Times New Roman"/>
          <w:b/>
          <w:sz w:val="16"/>
          <w:szCs w:val="16"/>
        </w:rPr>
        <w:t>zwangsweise</w:t>
      </w:r>
      <w:r w:rsidR="00E73F7B" w:rsidRPr="00240FCC">
        <w:rPr>
          <w:rFonts w:ascii="Times New Roman" w:hAnsi="Times New Roman" w:cs="Times New Roman"/>
          <w:sz w:val="16"/>
          <w:szCs w:val="16"/>
        </w:rPr>
        <w:t xml:space="preserve"> </w:t>
      </w:r>
      <w:r w:rsidR="003161B5" w:rsidRPr="00240FCC">
        <w:rPr>
          <w:rFonts w:ascii="Times New Roman" w:hAnsi="Times New Roman" w:cs="Times New Roman"/>
          <w:sz w:val="16"/>
          <w:szCs w:val="16"/>
        </w:rPr>
        <w:t>Anordnung eine</w:t>
      </w:r>
      <w:r w:rsidR="009868EA" w:rsidRPr="00240FCC">
        <w:rPr>
          <w:rFonts w:ascii="Times New Roman" w:hAnsi="Times New Roman" w:cs="Times New Roman"/>
          <w:sz w:val="16"/>
          <w:szCs w:val="16"/>
        </w:rPr>
        <w:t>r</w:t>
      </w:r>
      <w:r w:rsidR="003161B5" w:rsidRPr="00240FCC">
        <w:rPr>
          <w:rFonts w:ascii="Times New Roman" w:hAnsi="Times New Roman" w:cs="Times New Roman"/>
          <w:sz w:val="16"/>
          <w:szCs w:val="16"/>
        </w:rPr>
        <w:t xml:space="preserve"> </w:t>
      </w:r>
      <w:r w:rsidR="009868EA" w:rsidRPr="00240FCC">
        <w:rPr>
          <w:rFonts w:ascii="Times New Roman" w:hAnsi="Times New Roman" w:cs="Times New Roman"/>
          <w:sz w:val="16"/>
          <w:szCs w:val="16"/>
        </w:rPr>
        <w:t>Reihenuntersuchung</w:t>
      </w:r>
      <w:r w:rsidR="003161B5" w:rsidRPr="00240FCC">
        <w:rPr>
          <w:rFonts w:ascii="Times New Roman" w:hAnsi="Times New Roman" w:cs="Times New Roman"/>
          <w:sz w:val="16"/>
          <w:szCs w:val="16"/>
        </w:rPr>
        <w:t xml:space="preserve"> möglich ist. Während dies teilweise </w:t>
      </w:r>
      <w:r w:rsidR="004969CF" w:rsidRPr="00240FCC">
        <w:rPr>
          <w:rFonts w:ascii="Times New Roman" w:hAnsi="Times New Roman" w:cs="Times New Roman"/>
          <w:sz w:val="16"/>
          <w:szCs w:val="16"/>
        </w:rPr>
        <w:t>mit Blick auf die strengen Voraussetzungen des § 81h StPO un</w:t>
      </w:r>
      <w:r w:rsidR="005E347A" w:rsidRPr="00240FCC">
        <w:rPr>
          <w:rFonts w:ascii="Times New Roman" w:hAnsi="Times New Roman" w:cs="Times New Roman"/>
          <w:sz w:val="16"/>
          <w:szCs w:val="16"/>
        </w:rPr>
        <w:t>d</w:t>
      </w:r>
      <w:r w:rsidR="004969CF" w:rsidRPr="00240FCC">
        <w:rPr>
          <w:rFonts w:ascii="Times New Roman" w:hAnsi="Times New Roman" w:cs="Times New Roman"/>
          <w:sz w:val="16"/>
          <w:szCs w:val="16"/>
        </w:rPr>
        <w:t xml:space="preserve"> den Verhältnismäßigkeitsgrundsatz </w:t>
      </w:r>
      <w:r w:rsidR="003161B5" w:rsidRPr="00240FCC">
        <w:rPr>
          <w:rFonts w:ascii="Times New Roman" w:hAnsi="Times New Roman" w:cs="Times New Roman"/>
          <w:sz w:val="16"/>
          <w:szCs w:val="16"/>
        </w:rPr>
        <w:t xml:space="preserve">verneint wird, nimmt der BGH (BGHSt 49, 56 (60)) an, dass eine </w:t>
      </w:r>
      <w:r w:rsidR="007965AE" w:rsidRPr="00240FCC">
        <w:rPr>
          <w:rFonts w:ascii="Times New Roman" w:hAnsi="Times New Roman" w:cs="Times New Roman"/>
          <w:b/>
          <w:sz w:val="16"/>
          <w:szCs w:val="16"/>
        </w:rPr>
        <w:t>DNA-Analyse nach §§</w:t>
      </w:r>
      <w:r w:rsidR="009868EA" w:rsidRPr="00240FCC">
        <w:rPr>
          <w:rFonts w:ascii="Times New Roman" w:hAnsi="Times New Roman" w:cs="Times New Roman"/>
          <w:b/>
          <w:sz w:val="16"/>
          <w:szCs w:val="16"/>
        </w:rPr>
        <w:t> </w:t>
      </w:r>
      <w:r w:rsidR="007965AE" w:rsidRPr="00240FCC">
        <w:rPr>
          <w:rFonts w:ascii="Times New Roman" w:hAnsi="Times New Roman" w:cs="Times New Roman"/>
          <w:b/>
          <w:sz w:val="16"/>
          <w:szCs w:val="16"/>
        </w:rPr>
        <w:t xml:space="preserve">81a, 81e, 81f </w:t>
      </w:r>
      <w:r w:rsidR="009868EA" w:rsidRPr="00240FCC">
        <w:rPr>
          <w:rFonts w:ascii="Times New Roman" w:hAnsi="Times New Roman" w:cs="Times New Roman"/>
          <w:b/>
          <w:sz w:val="16"/>
          <w:szCs w:val="16"/>
        </w:rPr>
        <w:t>StPO</w:t>
      </w:r>
      <w:r w:rsidR="009868EA" w:rsidRPr="00240FCC">
        <w:rPr>
          <w:rFonts w:ascii="Times New Roman" w:hAnsi="Times New Roman" w:cs="Times New Roman"/>
          <w:sz w:val="16"/>
          <w:szCs w:val="16"/>
        </w:rPr>
        <w:t xml:space="preserve"> </w:t>
      </w:r>
      <w:r w:rsidR="007965AE" w:rsidRPr="00240FCC">
        <w:rPr>
          <w:rFonts w:ascii="Times New Roman" w:hAnsi="Times New Roman" w:cs="Times New Roman"/>
          <w:sz w:val="16"/>
          <w:szCs w:val="16"/>
        </w:rPr>
        <w:t>dann angeordnet werden</w:t>
      </w:r>
      <w:r w:rsidR="003161B5" w:rsidRPr="00240FCC">
        <w:rPr>
          <w:rFonts w:ascii="Times New Roman" w:hAnsi="Times New Roman" w:cs="Times New Roman"/>
          <w:sz w:val="16"/>
          <w:szCs w:val="16"/>
        </w:rPr>
        <w:t xml:space="preserve"> darf</w:t>
      </w:r>
      <w:r w:rsidR="007965AE" w:rsidRPr="00240FCC">
        <w:rPr>
          <w:rFonts w:ascii="Times New Roman" w:hAnsi="Times New Roman" w:cs="Times New Roman"/>
          <w:sz w:val="16"/>
          <w:szCs w:val="16"/>
        </w:rPr>
        <w:t xml:space="preserve">, wenn </w:t>
      </w:r>
      <w:r w:rsidR="007965AE" w:rsidRPr="00240FCC">
        <w:rPr>
          <w:rFonts w:ascii="Times New Roman" w:hAnsi="Times New Roman" w:cs="Times New Roman"/>
          <w:b/>
          <w:sz w:val="16"/>
          <w:szCs w:val="16"/>
        </w:rPr>
        <w:t>weitere verdachtsbegründende Tatsachen</w:t>
      </w:r>
      <w:r w:rsidR="007965AE" w:rsidRPr="00240FCC">
        <w:rPr>
          <w:rFonts w:ascii="Times New Roman" w:hAnsi="Times New Roman" w:cs="Times New Roman"/>
          <w:sz w:val="16"/>
          <w:szCs w:val="16"/>
        </w:rPr>
        <w:t xml:space="preserve"> vorliegen, etwa sich der Kreis der Verdächtigen durch die Abgabe einer Vielzahl freiwilliger Speichelproben verdichtet hat. </w:t>
      </w:r>
      <w:r w:rsidR="00E73F7B" w:rsidRPr="00240FCC">
        <w:rPr>
          <w:rFonts w:ascii="Times New Roman" w:hAnsi="Times New Roman" w:cs="Times New Roman"/>
          <w:sz w:val="16"/>
          <w:szCs w:val="16"/>
        </w:rPr>
        <w:t>Die Anordnung kann auch a</w:t>
      </w:r>
      <w:r w:rsidR="007965AE" w:rsidRPr="00240FCC">
        <w:rPr>
          <w:rFonts w:ascii="Times New Roman" w:hAnsi="Times New Roman" w:cs="Times New Roman"/>
          <w:sz w:val="16"/>
          <w:szCs w:val="16"/>
        </w:rPr>
        <w:t xml:space="preserve">uf </w:t>
      </w:r>
      <w:r w:rsidR="001629B7" w:rsidRPr="00240FCC">
        <w:rPr>
          <w:rFonts w:ascii="Times New Roman" w:hAnsi="Times New Roman" w:cs="Times New Roman"/>
          <w:b/>
          <w:sz w:val="16"/>
          <w:szCs w:val="16"/>
        </w:rPr>
        <w:t>§ 81c II 1, § 81e I 1</w:t>
      </w:r>
      <w:r w:rsidR="007965AE" w:rsidRPr="00240FCC">
        <w:rPr>
          <w:rFonts w:ascii="Times New Roman" w:hAnsi="Times New Roman" w:cs="Times New Roman"/>
          <w:b/>
          <w:sz w:val="16"/>
          <w:szCs w:val="16"/>
        </w:rPr>
        <w:t xml:space="preserve"> StPO</w:t>
      </w:r>
      <w:r w:rsidR="007965AE" w:rsidRPr="00240FCC">
        <w:rPr>
          <w:rFonts w:ascii="Times New Roman" w:hAnsi="Times New Roman" w:cs="Times New Roman"/>
          <w:sz w:val="16"/>
          <w:szCs w:val="16"/>
        </w:rPr>
        <w:t xml:space="preserve"> gestützt werden, wenn Anhaltspunkte bestehen, dass die Inanspruchnahme konkret beweisgeeigneter Personen zu einem Beweiserfolg führen kann (LG Frankenthal NStZ-RR 2000, 146; LG Mannheim NStZ-RR 2004, 301).</w:t>
      </w:r>
    </w:p>
    <w:p w14:paraId="7E903BD3" w14:textId="77777777" w:rsidR="00150176" w:rsidRPr="00C2429A" w:rsidRDefault="00150176" w:rsidP="004969CF">
      <w:pPr>
        <w:widowControl/>
        <w:tabs>
          <w:tab w:val="left" w:pos="-720"/>
          <w:tab w:val="left" w:pos="0"/>
          <w:tab w:val="left" w:pos="576"/>
          <w:tab w:val="left" w:pos="864"/>
          <w:tab w:val="left" w:pos="1116"/>
          <w:tab w:val="left" w:pos="1404"/>
          <w:tab w:val="left" w:pos="1692"/>
          <w:tab w:val="left" w:pos="1980"/>
          <w:tab w:val="left" w:pos="2268"/>
          <w:tab w:val="left" w:pos="2880"/>
        </w:tabs>
        <w:jc w:val="both"/>
        <w:rPr>
          <w:rFonts w:ascii="Times New Roman" w:hAnsi="Times New Roman"/>
          <w:b/>
          <w:spacing w:val="-2"/>
          <w:sz w:val="16"/>
        </w:rPr>
      </w:pPr>
    </w:p>
    <w:p w14:paraId="7E53FE57" w14:textId="4FDA9B5C" w:rsidR="00150176" w:rsidRPr="00FC6C15" w:rsidRDefault="00150176" w:rsidP="00240FCC">
      <w:pPr>
        <w:widowControl/>
        <w:tabs>
          <w:tab w:val="left" w:pos="-720"/>
          <w:tab w:val="left" w:pos="0"/>
          <w:tab w:val="left" w:pos="288"/>
          <w:tab w:val="left" w:pos="576"/>
          <w:tab w:val="left" w:pos="864"/>
          <w:tab w:val="left" w:pos="1116"/>
          <w:tab w:val="left" w:pos="1404"/>
          <w:tab w:val="left" w:pos="1692"/>
          <w:tab w:val="left" w:pos="1980"/>
          <w:tab w:val="left" w:pos="2268"/>
          <w:tab w:val="left" w:pos="2880"/>
        </w:tabs>
        <w:jc w:val="both"/>
        <w:rPr>
          <w:rFonts w:ascii="Times New Roman" w:hAnsi="Times New Roman"/>
          <w:spacing w:val="-2"/>
          <w:sz w:val="14"/>
          <w:szCs w:val="14"/>
        </w:rPr>
      </w:pPr>
      <w:r w:rsidRPr="00FC6C15">
        <w:rPr>
          <w:rFonts w:ascii="Times New Roman" w:hAnsi="Times New Roman"/>
          <w:b/>
          <w:spacing w:val="-2"/>
          <w:sz w:val="14"/>
          <w:szCs w:val="14"/>
        </w:rPr>
        <w:t xml:space="preserve">Literatur/Lehrbücher:  </w:t>
      </w:r>
      <w:r w:rsidRPr="00FC6C15">
        <w:rPr>
          <w:rFonts w:ascii="Times New Roman" w:hAnsi="Times New Roman"/>
          <w:b/>
          <w:spacing w:val="-2"/>
          <w:sz w:val="14"/>
          <w:szCs w:val="14"/>
        </w:rPr>
        <w:tab/>
      </w:r>
      <w:r w:rsidR="00277970" w:rsidRPr="00FC6C15">
        <w:rPr>
          <w:rFonts w:ascii="Times New Roman" w:hAnsi="Times New Roman"/>
          <w:b/>
          <w:spacing w:val="-2"/>
          <w:sz w:val="14"/>
          <w:szCs w:val="14"/>
        </w:rPr>
        <w:tab/>
      </w:r>
      <w:r w:rsidR="007B3569" w:rsidRPr="00FC6C15">
        <w:rPr>
          <w:rFonts w:ascii="Times New Roman" w:hAnsi="Times New Roman"/>
          <w:i/>
          <w:spacing w:val="-2"/>
          <w:sz w:val="14"/>
          <w:szCs w:val="14"/>
        </w:rPr>
        <w:t>Heinrich/Reinbacher</w:t>
      </w:r>
      <w:r w:rsidR="007B3569" w:rsidRPr="00FC6C15">
        <w:rPr>
          <w:rFonts w:ascii="Times New Roman" w:hAnsi="Times New Roman"/>
          <w:spacing w:val="-2"/>
          <w:sz w:val="14"/>
          <w:szCs w:val="14"/>
        </w:rPr>
        <w:t>, Examinatorium Strafprozessrecht,</w:t>
      </w:r>
      <w:r w:rsidR="0076310A" w:rsidRPr="00FC6C15">
        <w:rPr>
          <w:rFonts w:ascii="Times New Roman" w:hAnsi="Times New Roman"/>
          <w:spacing w:val="-2"/>
          <w:sz w:val="14"/>
          <w:szCs w:val="14"/>
        </w:rPr>
        <w:t xml:space="preserve"> </w:t>
      </w:r>
      <w:r w:rsidR="003C12BA">
        <w:rPr>
          <w:rFonts w:ascii="Times New Roman" w:hAnsi="Times New Roman"/>
          <w:spacing w:val="-2"/>
          <w:sz w:val="14"/>
          <w:szCs w:val="14"/>
        </w:rPr>
        <w:t>4</w:t>
      </w:r>
      <w:r w:rsidR="0076310A" w:rsidRPr="00FC6C15">
        <w:rPr>
          <w:rFonts w:ascii="Times New Roman" w:hAnsi="Times New Roman"/>
          <w:spacing w:val="-2"/>
          <w:sz w:val="14"/>
          <w:szCs w:val="14"/>
        </w:rPr>
        <w:t>. Auflage 20</w:t>
      </w:r>
      <w:r w:rsidR="00496947">
        <w:rPr>
          <w:rFonts w:ascii="Times New Roman" w:hAnsi="Times New Roman"/>
          <w:spacing w:val="-2"/>
          <w:sz w:val="14"/>
          <w:szCs w:val="14"/>
        </w:rPr>
        <w:t>2</w:t>
      </w:r>
      <w:r w:rsidR="003C12BA">
        <w:rPr>
          <w:rFonts w:ascii="Times New Roman" w:hAnsi="Times New Roman"/>
          <w:spacing w:val="-2"/>
          <w:sz w:val="14"/>
          <w:szCs w:val="14"/>
        </w:rPr>
        <w:t>3</w:t>
      </w:r>
      <w:r w:rsidR="0076310A" w:rsidRPr="00FC6C15">
        <w:rPr>
          <w:rFonts w:ascii="Times New Roman" w:hAnsi="Times New Roman"/>
          <w:spacing w:val="-2"/>
          <w:sz w:val="14"/>
          <w:szCs w:val="14"/>
        </w:rPr>
        <w:t>,</w:t>
      </w:r>
      <w:r w:rsidR="007B3569" w:rsidRPr="00FC6C15">
        <w:rPr>
          <w:rFonts w:ascii="Times New Roman" w:hAnsi="Times New Roman"/>
          <w:spacing w:val="-2"/>
          <w:sz w:val="14"/>
          <w:szCs w:val="14"/>
        </w:rPr>
        <w:t xml:space="preserve"> Problem 17.</w:t>
      </w:r>
    </w:p>
    <w:p w14:paraId="775156FF" w14:textId="71C91B7F" w:rsidR="00150176" w:rsidRPr="00FC6C15" w:rsidRDefault="00150176" w:rsidP="00240FCC">
      <w:pPr>
        <w:widowControl/>
        <w:tabs>
          <w:tab w:val="left" w:pos="-720"/>
          <w:tab w:val="left" w:pos="0"/>
          <w:tab w:val="left" w:pos="288"/>
          <w:tab w:val="left" w:pos="576"/>
          <w:tab w:val="left" w:pos="864"/>
          <w:tab w:val="left" w:pos="1116"/>
          <w:tab w:val="left" w:pos="1404"/>
          <w:tab w:val="left" w:pos="1701"/>
          <w:tab w:val="left" w:pos="2268"/>
          <w:tab w:val="left" w:pos="2880"/>
        </w:tabs>
        <w:ind w:left="1695" w:hanging="1695"/>
        <w:jc w:val="both"/>
        <w:rPr>
          <w:rFonts w:ascii="Times New Roman" w:hAnsi="Times New Roman"/>
          <w:spacing w:val="-2"/>
          <w:sz w:val="14"/>
          <w:szCs w:val="14"/>
        </w:rPr>
      </w:pPr>
      <w:r w:rsidRPr="00FC6C15">
        <w:rPr>
          <w:rFonts w:ascii="Times New Roman" w:hAnsi="Times New Roman"/>
          <w:b/>
          <w:spacing w:val="-2"/>
          <w:sz w:val="14"/>
          <w:szCs w:val="14"/>
        </w:rPr>
        <w:t>Literatur/Aufsätze:</w:t>
      </w:r>
      <w:r w:rsidRPr="00FC6C15">
        <w:rPr>
          <w:rFonts w:ascii="Times New Roman" w:hAnsi="Times New Roman"/>
          <w:b/>
          <w:spacing w:val="-2"/>
          <w:sz w:val="14"/>
          <w:szCs w:val="14"/>
        </w:rPr>
        <w:tab/>
      </w:r>
      <w:r w:rsidRPr="00FC6C15">
        <w:rPr>
          <w:rFonts w:ascii="Times New Roman" w:hAnsi="Times New Roman"/>
          <w:b/>
          <w:spacing w:val="-2"/>
          <w:sz w:val="14"/>
          <w:szCs w:val="14"/>
        </w:rPr>
        <w:tab/>
      </w:r>
      <w:r w:rsidRPr="00FC6C15">
        <w:rPr>
          <w:rFonts w:ascii="Times New Roman" w:hAnsi="Times New Roman"/>
          <w:b/>
          <w:spacing w:val="-2"/>
          <w:sz w:val="14"/>
          <w:szCs w:val="14"/>
        </w:rPr>
        <w:tab/>
      </w:r>
      <w:r w:rsidR="005E2D27" w:rsidRPr="00941426">
        <w:rPr>
          <w:rStyle w:val="Betonungfett"/>
          <w:rFonts w:ascii="Times New Roman" w:hAnsi="Times New Roman" w:cs="Times New Roman"/>
          <w:b w:val="0"/>
          <w:bCs/>
          <w:i/>
          <w:color w:val="auto"/>
          <w:sz w:val="14"/>
          <w:szCs w:val="14"/>
        </w:rPr>
        <w:t>Bosch</w:t>
      </w:r>
      <w:r w:rsidR="005E2D27" w:rsidRPr="00941426">
        <w:rPr>
          <w:rStyle w:val="Betonungfett"/>
          <w:rFonts w:ascii="Times New Roman" w:hAnsi="Times New Roman" w:cs="Times New Roman"/>
          <w:b w:val="0"/>
          <w:bCs/>
          <w:color w:val="auto"/>
          <w:sz w:val="14"/>
          <w:szCs w:val="14"/>
        </w:rPr>
        <w:t>,</w:t>
      </w:r>
      <w:r w:rsidR="005E2D27" w:rsidRPr="00941426">
        <w:rPr>
          <w:rStyle w:val="Betonungfett"/>
          <w:rFonts w:ascii="Times New Roman" w:hAnsi="Times New Roman" w:cs="Times New Roman"/>
          <w:color w:val="auto"/>
          <w:sz w:val="14"/>
          <w:szCs w:val="14"/>
        </w:rPr>
        <w:t xml:space="preserve"> </w:t>
      </w:r>
      <w:r w:rsidR="005E2D27" w:rsidRPr="00941426">
        <w:rPr>
          <w:rStyle w:val="Betonungfett"/>
          <w:rFonts w:ascii="Times New Roman" w:hAnsi="Times New Roman" w:cs="Times New Roman"/>
          <w:b w:val="0"/>
          <w:bCs/>
          <w:color w:val="auto"/>
          <w:sz w:val="14"/>
          <w:szCs w:val="14"/>
        </w:rPr>
        <w:t>DNA-Analyse zu repressiven und präventiven Zwecken im Strafverfahren, JURA 202</w:t>
      </w:r>
      <w:r w:rsidR="00C836A3">
        <w:rPr>
          <w:rStyle w:val="Betonungfett"/>
          <w:rFonts w:ascii="Times New Roman" w:hAnsi="Times New Roman" w:cs="Times New Roman"/>
          <w:b w:val="0"/>
          <w:bCs/>
          <w:color w:val="auto"/>
          <w:sz w:val="14"/>
          <w:szCs w:val="14"/>
        </w:rPr>
        <w:t>1</w:t>
      </w:r>
      <w:r w:rsidR="005E2D27" w:rsidRPr="00941426">
        <w:rPr>
          <w:rStyle w:val="Betonungfett"/>
          <w:rFonts w:ascii="Times New Roman" w:hAnsi="Times New Roman" w:cs="Times New Roman"/>
          <w:b w:val="0"/>
          <w:bCs/>
          <w:color w:val="auto"/>
          <w:sz w:val="14"/>
          <w:szCs w:val="14"/>
        </w:rPr>
        <w:t>, 41;</w:t>
      </w:r>
      <w:r w:rsidR="005E2D27" w:rsidRPr="00941426">
        <w:rPr>
          <w:rStyle w:val="Betonungfett"/>
          <w:rFonts w:ascii="Times New Roman" w:hAnsi="Times New Roman" w:cs="Times New Roman"/>
          <w:b w:val="0"/>
          <w:bCs/>
          <w:sz w:val="14"/>
          <w:szCs w:val="14"/>
        </w:rPr>
        <w:t xml:space="preserve"> </w:t>
      </w:r>
      <w:proofErr w:type="spellStart"/>
      <w:r w:rsidR="00204DA0" w:rsidRPr="00941426">
        <w:rPr>
          <w:rFonts w:ascii="Times New Roman" w:hAnsi="Times New Roman" w:cs="Times New Roman"/>
          <w:i/>
          <w:iCs/>
          <w:spacing w:val="-2"/>
          <w:sz w:val="14"/>
          <w:szCs w:val="14"/>
        </w:rPr>
        <w:t>Gronke</w:t>
      </w:r>
      <w:proofErr w:type="spellEnd"/>
      <w:r w:rsidR="00204DA0" w:rsidRPr="00941426">
        <w:rPr>
          <w:rFonts w:ascii="Times New Roman" w:hAnsi="Times New Roman" w:cs="Times New Roman"/>
          <w:i/>
          <w:iCs/>
          <w:spacing w:val="-2"/>
          <w:sz w:val="14"/>
          <w:szCs w:val="14"/>
        </w:rPr>
        <w:t>/</w:t>
      </w:r>
      <w:proofErr w:type="spellStart"/>
      <w:r w:rsidR="00204DA0" w:rsidRPr="00941426">
        <w:rPr>
          <w:rFonts w:ascii="Times New Roman" w:hAnsi="Times New Roman" w:cs="Times New Roman"/>
          <w:i/>
          <w:iCs/>
          <w:spacing w:val="-2"/>
          <w:sz w:val="14"/>
          <w:szCs w:val="14"/>
        </w:rPr>
        <w:t>Gronke</w:t>
      </w:r>
      <w:proofErr w:type="spellEnd"/>
      <w:r w:rsidR="00204DA0" w:rsidRPr="00941426">
        <w:rPr>
          <w:rFonts w:ascii="Times New Roman" w:hAnsi="Times New Roman" w:cs="Times New Roman"/>
          <w:spacing w:val="-2"/>
          <w:sz w:val="14"/>
          <w:szCs w:val="14"/>
        </w:rPr>
        <w:t xml:space="preserve">, Nutzen und Limitierungen der erweiterten DNA-Analyse im strafrechtlichen Ermittlungsverfahren, NStZ 2021, 141; </w:t>
      </w:r>
      <w:proofErr w:type="spellStart"/>
      <w:r w:rsidRPr="005E2D27">
        <w:rPr>
          <w:rFonts w:ascii="Times New Roman" w:hAnsi="Times New Roman"/>
          <w:bCs/>
          <w:i/>
          <w:spacing w:val="-2"/>
          <w:sz w:val="14"/>
          <w:szCs w:val="14"/>
        </w:rPr>
        <w:t>Koriath</w:t>
      </w:r>
      <w:proofErr w:type="spellEnd"/>
      <w:r w:rsidRPr="00FC6C15">
        <w:rPr>
          <w:rFonts w:ascii="Times New Roman" w:hAnsi="Times New Roman"/>
          <w:spacing w:val="-2"/>
          <w:sz w:val="14"/>
          <w:szCs w:val="14"/>
        </w:rPr>
        <w:t xml:space="preserve">, Ist das DNA-Fingerprinting ein legitimes Beweismittel?, JA 1993, 270; </w:t>
      </w:r>
      <w:proofErr w:type="spellStart"/>
      <w:r w:rsidR="00C836A3" w:rsidRPr="00B27551">
        <w:rPr>
          <w:rFonts w:ascii="Times New Roman" w:hAnsi="Times New Roman"/>
          <w:i/>
          <w:iCs/>
          <w:spacing w:val="-2"/>
          <w:sz w:val="14"/>
          <w:szCs w:val="14"/>
        </w:rPr>
        <w:t>Mansdörfer</w:t>
      </w:r>
      <w:proofErr w:type="spellEnd"/>
      <w:r w:rsidR="00C836A3">
        <w:rPr>
          <w:rFonts w:ascii="Times New Roman" w:hAnsi="Times New Roman"/>
          <w:spacing w:val="-2"/>
          <w:sz w:val="14"/>
          <w:szCs w:val="14"/>
        </w:rPr>
        <w:t xml:space="preserve">, Die Erstellung genetischer Phantombilder auf Basis der sog. erweiterten DNA-Analyse, </w:t>
      </w:r>
      <w:proofErr w:type="spellStart"/>
      <w:r w:rsidR="00C836A3">
        <w:rPr>
          <w:rFonts w:ascii="Times New Roman" w:hAnsi="Times New Roman"/>
          <w:spacing w:val="-2"/>
          <w:sz w:val="14"/>
          <w:szCs w:val="14"/>
        </w:rPr>
        <w:t>jM</w:t>
      </w:r>
      <w:proofErr w:type="spellEnd"/>
      <w:r w:rsidR="00C836A3">
        <w:rPr>
          <w:rFonts w:ascii="Times New Roman" w:hAnsi="Times New Roman"/>
          <w:spacing w:val="-2"/>
          <w:sz w:val="14"/>
          <w:szCs w:val="14"/>
        </w:rPr>
        <w:t xml:space="preserve"> 2021, 432; </w:t>
      </w:r>
      <w:r w:rsidRPr="00FC6C15">
        <w:rPr>
          <w:rFonts w:ascii="Times New Roman" w:hAnsi="Times New Roman"/>
          <w:i/>
          <w:spacing w:val="-2"/>
          <w:sz w:val="14"/>
          <w:szCs w:val="14"/>
        </w:rPr>
        <w:t>Neuser</w:t>
      </w:r>
      <w:r w:rsidRPr="00FC6C15">
        <w:rPr>
          <w:rFonts w:ascii="Times New Roman" w:hAnsi="Times New Roman"/>
          <w:spacing w:val="-2"/>
          <w:sz w:val="14"/>
          <w:szCs w:val="14"/>
        </w:rPr>
        <w:t xml:space="preserve">, Die „Straftat von erheblicher Bedeutung“ als Anordnungsvoraussetzung im Rahmen des § 81g Abs. 1 StPO, JURA 2003, 461; </w:t>
      </w:r>
      <w:r w:rsidRPr="00FC6C15">
        <w:rPr>
          <w:rFonts w:ascii="Times New Roman" w:hAnsi="Times New Roman"/>
          <w:i/>
          <w:spacing w:val="-2"/>
          <w:sz w:val="14"/>
          <w:szCs w:val="14"/>
        </w:rPr>
        <w:t>Pommer</w:t>
      </w:r>
      <w:r w:rsidRPr="00FC6C15">
        <w:rPr>
          <w:rFonts w:ascii="Times New Roman" w:hAnsi="Times New Roman"/>
          <w:spacing w:val="-2"/>
          <w:sz w:val="14"/>
          <w:szCs w:val="14"/>
        </w:rPr>
        <w:t>, Die DNA-Analyse im Strafprozess – Problemfelder der §§ 81e ff., JA 2007, 621</w:t>
      </w:r>
      <w:r w:rsidR="00E82B7F" w:rsidRPr="00FC6C15">
        <w:rPr>
          <w:rFonts w:ascii="Times New Roman" w:hAnsi="Times New Roman"/>
          <w:spacing w:val="-2"/>
          <w:sz w:val="14"/>
          <w:szCs w:val="14"/>
        </w:rPr>
        <w:t xml:space="preserve">; </w:t>
      </w:r>
      <w:r w:rsidR="00E82B7F" w:rsidRPr="00FC6C15">
        <w:rPr>
          <w:rFonts w:ascii="Times New Roman" w:hAnsi="Times New Roman"/>
          <w:i/>
          <w:spacing w:val="-2"/>
          <w:sz w:val="14"/>
          <w:szCs w:val="14"/>
        </w:rPr>
        <w:t>Saliger/Ademi</w:t>
      </w:r>
      <w:r w:rsidR="00E82B7F" w:rsidRPr="00FC6C15">
        <w:rPr>
          <w:rFonts w:ascii="Times New Roman" w:hAnsi="Times New Roman"/>
          <w:spacing w:val="-2"/>
          <w:sz w:val="14"/>
          <w:szCs w:val="14"/>
        </w:rPr>
        <w:t>, der Massengentest nach § 81h StPO</w:t>
      </w:r>
      <w:r w:rsidR="00B90939" w:rsidRPr="00FC6C15">
        <w:rPr>
          <w:rFonts w:ascii="Times New Roman" w:hAnsi="Times New Roman"/>
          <w:spacing w:val="-2"/>
          <w:sz w:val="14"/>
          <w:szCs w:val="14"/>
        </w:rPr>
        <w:t xml:space="preserve">, </w:t>
      </w:r>
      <w:proofErr w:type="spellStart"/>
      <w:r w:rsidR="00B90939" w:rsidRPr="00FC6C15">
        <w:rPr>
          <w:rFonts w:ascii="Times New Roman" w:hAnsi="Times New Roman"/>
          <w:spacing w:val="-2"/>
          <w:sz w:val="14"/>
          <w:szCs w:val="14"/>
        </w:rPr>
        <w:t>JuS</w:t>
      </w:r>
      <w:proofErr w:type="spellEnd"/>
      <w:r w:rsidR="00B90939" w:rsidRPr="00FC6C15">
        <w:rPr>
          <w:rFonts w:ascii="Times New Roman" w:hAnsi="Times New Roman"/>
          <w:spacing w:val="-2"/>
          <w:sz w:val="14"/>
          <w:szCs w:val="14"/>
        </w:rPr>
        <w:t xml:space="preserve"> 2008, 193; </w:t>
      </w:r>
      <w:r w:rsidR="009604AA" w:rsidRPr="00FC6C15">
        <w:rPr>
          <w:rFonts w:ascii="Times New Roman" w:hAnsi="Times New Roman"/>
          <w:i/>
          <w:spacing w:val="-2"/>
          <w:sz w:val="14"/>
          <w:szCs w:val="14"/>
        </w:rPr>
        <w:t>Schneider</w:t>
      </w:r>
      <w:r w:rsidR="009604AA" w:rsidRPr="00FC6C15">
        <w:rPr>
          <w:rFonts w:ascii="Times New Roman" w:hAnsi="Times New Roman"/>
          <w:spacing w:val="-2"/>
          <w:sz w:val="14"/>
          <w:szCs w:val="14"/>
        </w:rPr>
        <w:t xml:space="preserve">, DNA-Analyse und Strafverfahren de lege ferenda, NStZ 2018, 692; </w:t>
      </w:r>
      <w:r w:rsidR="00B90939" w:rsidRPr="00FC6C15">
        <w:rPr>
          <w:rFonts w:ascii="Times New Roman" w:hAnsi="Times New Roman"/>
          <w:i/>
          <w:spacing w:val="-2"/>
          <w:sz w:val="14"/>
          <w:szCs w:val="14"/>
        </w:rPr>
        <w:t>Swoboda</w:t>
      </w:r>
      <w:r w:rsidR="00B90939" w:rsidRPr="00FC6C15">
        <w:rPr>
          <w:rFonts w:ascii="Times New Roman" w:hAnsi="Times New Roman"/>
          <w:spacing w:val="-2"/>
          <w:sz w:val="14"/>
          <w:szCs w:val="14"/>
        </w:rPr>
        <w:t>, Grenzen der Informationsgewinnung aus DNA-Identifikationsmustern bei molekulargenetischen Reihentests nach § 81h StPO, StV 2013, 461</w:t>
      </w:r>
      <w:r w:rsidR="00204DA0">
        <w:rPr>
          <w:rFonts w:ascii="Times New Roman" w:hAnsi="Times New Roman"/>
          <w:spacing w:val="-2"/>
          <w:sz w:val="14"/>
          <w:szCs w:val="14"/>
        </w:rPr>
        <w:t>.</w:t>
      </w:r>
    </w:p>
    <w:p w14:paraId="06837D89" w14:textId="14D39D4E" w:rsidR="00150176" w:rsidRPr="00FC6C15" w:rsidRDefault="00150176" w:rsidP="00240FCC">
      <w:pPr>
        <w:widowControl/>
        <w:tabs>
          <w:tab w:val="left" w:pos="-720"/>
          <w:tab w:val="left" w:pos="0"/>
          <w:tab w:val="left" w:pos="288"/>
          <w:tab w:val="left" w:pos="576"/>
          <w:tab w:val="left" w:pos="864"/>
          <w:tab w:val="left" w:pos="1116"/>
          <w:tab w:val="left" w:pos="1404"/>
          <w:tab w:val="left" w:pos="1701"/>
          <w:tab w:val="left" w:pos="2268"/>
          <w:tab w:val="left" w:pos="2880"/>
        </w:tabs>
        <w:ind w:left="1695" w:hanging="1695"/>
        <w:jc w:val="both"/>
        <w:rPr>
          <w:rFonts w:ascii="Times New Roman" w:hAnsi="Times New Roman"/>
          <w:spacing w:val="-2"/>
          <w:sz w:val="14"/>
          <w:szCs w:val="14"/>
        </w:rPr>
      </w:pPr>
      <w:r w:rsidRPr="00FC6C15">
        <w:rPr>
          <w:rFonts w:ascii="Times New Roman" w:hAnsi="Times New Roman"/>
          <w:b/>
          <w:spacing w:val="-2"/>
          <w:sz w:val="14"/>
          <w:szCs w:val="14"/>
        </w:rPr>
        <w:t xml:space="preserve">Rechtsprechung: </w:t>
      </w:r>
      <w:r w:rsidRPr="00FC6C15">
        <w:rPr>
          <w:rFonts w:ascii="Times New Roman" w:hAnsi="Times New Roman"/>
          <w:b/>
          <w:spacing w:val="-2"/>
          <w:sz w:val="14"/>
          <w:szCs w:val="14"/>
        </w:rPr>
        <w:tab/>
      </w:r>
      <w:r w:rsidRPr="00FC6C15">
        <w:rPr>
          <w:rFonts w:ascii="Times New Roman" w:hAnsi="Times New Roman"/>
          <w:b/>
          <w:spacing w:val="-2"/>
          <w:sz w:val="14"/>
          <w:szCs w:val="14"/>
        </w:rPr>
        <w:tab/>
      </w:r>
      <w:r w:rsidR="00277970" w:rsidRPr="00FC6C15">
        <w:rPr>
          <w:rFonts w:ascii="Times New Roman" w:hAnsi="Times New Roman"/>
          <w:b/>
          <w:spacing w:val="-2"/>
          <w:sz w:val="14"/>
          <w:szCs w:val="14"/>
        </w:rPr>
        <w:tab/>
      </w:r>
      <w:r w:rsidRPr="00FC6C15">
        <w:rPr>
          <w:rFonts w:ascii="Times New Roman" w:hAnsi="Times New Roman"/>
          <w:b/>
          <w:spacing w:val="-2"/>
          <w:sz w:val="14"/>
          <w:szCs w:val="14"/>
        </w:rPr>
        <w:t>BGHSt 37, 157</w:t>
      </w:r>
      <w:r w:rsidRPr="00FC6C15">
        <w:rPr>
          <w:rFonts w:ascii="Times New Roman" w:hAnsi="Times New Roman"/>
          <w:spacing w:val="-2"/>
          <w:sz w:val="14"/>
          <w:szCs w:val="14"/>
        </w:rPr>
        <w:t xml:space="preserve"> – Mord (gewonnenes DNA-Material nur als ergänzendes Beweismittel zulässig); </w:t>
      </w:r>
      <w:r w:rsidRPr="00FC6C15">
        <w:rPr>
          <w:rFonts w:ascii="Times New Roman" w:hAnsi="Times New Roman"/>
          <w:b/>
          <w:spacing w:val="-2"/>
          <w:sz w:val="14"/>
          <w:szCs w:val="14"/>
        </w:rPr>
        <w:t xml:space="preserve">BGHSt 38, 320 </w:t>
      </w:r>
      <w:r w:rsidRPr="00FC6C15">
        <w:rPr>
          <w:rFonts w:ascii="Times New Roman" w:hAnsi="Times New Roman"/>
          <w:spacing w:val="-2"/>
          <w:sz w:val="14"/>
          <w:szCs w:val="14"/>
        </w:rPr>
        <w:t xml:space="preserve">– </w:t>
      </w:r>
      <w:r w:rsidR="00D32C68" w:rsidRPr="00E636C8">
        <w:rPr>
          <w:rFonts w:ascii="Times New Roman" w:hAnsi="Times New Roman"/>
          <w:spacing w:val="-2"/>
          <w:sz w:val="14"/>
          <w:szCs w:val="14"/>
        </w:rPr>
        <w:t>DNA-Analyse (Beweiswert einer DNA-Analyse)</w:t>
      </w:r>
      <w:r w:rsidRPr="00FC6C15">
        <w:rPr>
          <w:rFonts w:ascii="Times New Roman" w:hAnsi="Times New Roman"/>
          <w:spacing w:val="-2"/>
          <w:sz w:val="14"/>
          <w:szCs w:val="14"/>
        </w:rPr>
        <w:t xml:space="preserve">; </w:t>
      </w:r>
      <w:r w:rsidRPr="00FC6C15">
        <w:rPr>
          <w:rFonts w:ascii="Times New Roman" w:hAnsi="Times New Roman"/>
          <w:b/>
          <w:spacing w:val="-2"/>
          <w:sz w:val="14"/>
          <w:szCs w:val="14"/>
        </w:rPr>
        <w:t>BGHSt 49, 56</w:t>
      </w:r>
      <w:r w:rsidRPr="00FC6C15">
        <w:rPr>
          <w:rFonts w:ascii="Times New Roman" w:hAnsi="Times New Roman"/>
          <w:spacing w:val="-2"/>
          <w:sz w:val="14"/>
          <w:szCs w:val="14"/>
        </w:rPr>
        <w:t xml:space="preserve"> – Speichelprobe (Verweigerung der freiwilligen DNA-Analyse ist kein Indiz zur Begründung des Tatverdachts)</w:t>
      </w:r>
      <w:r w:rsidR="00BE3BC7" w:rsidRPr="00FC6C15">
        <w:rPr>
          <w:rFonts w:ascii="Times New Roman" w:hAnsi="Times New Roman"/>
          <w:spacing w:val="-2"/>
          <w:sz w:val="14"/>
          <w:szCs w:val="14"/>
        </w:rPr>
        <w:t xml:space="preserve">; </w:t>
      </w:r>
      <w:r w:rsidR="00BE3BC7" w:rsidRPr="00FC6C15">
        <w:rPr>
          <w:rFonts w:ascii="Times New Roman" w:hAnsi="Times New Roman"/>
          <w:b/>
          <w:spacing w:val="-2"/>
          <w:sz w:val="14"/>
          <w:szCs w:val="14"/>
        </w:rPr>
        <w:t>BGH NStZ 2013, 242</w:t>
      </w:r>
      <w:r w:rsidR="00BE3BC7" w:rsidRPr="00FC6C15">
        <w:rPr>
          <w:rFonts w:ascii="Times New Roman" w:hAnsi="Times New Roman"/>
          <w:spacing w:val="-2"/>
          <w:sz w:val="14"/>
          <w:szCs w:val="14"/>
        </w:rPr>
        <w:t xml:space="preserve"> – DNA-Reihenuntersuchung (Zulässigkeit der Feststellung und Verwendung von Teilübereinstimmungen)</w:t>
      </w:r>
      <w:r w:rsidR="0021621C" w:rsidRPr="00FC6C15">
        <w:rPr>
          <w:rFonts w:ascii="Times New Roman" w:hAnsi="Times New Roman"/>
          <w:spacing w:val="-2"/>
          <w:sz w:val="14"/>
          <w:szCs w:val="14"/>
        </w:rPr>
        <w:t>, vgl.</w:t>
      </w:r>
      <w:r w:rsidR="00BE3BC7" w:rsidRPr="00FC6C15">
        <w:rPr>
          <w:rFonts w:ascii="Times New Roman" w:hAnsi="Times New Roman"/>
          <w:spacing w:val="-2"/>
          <w:sz w:val="14"/>
          <w:szCs w:val="14"/>
        </w:rPr>
        <w:t xml:space="preserve"> </w:t>
      </w:r>
      <w:proofErr w:type="spellStart"/>
      <w:r w:rsidR="005B77D1" w:rsidRPr="005B77D1">
        <w:rPr>
          <w:rFonts w:ascii="Times New Roman" w:hAnsi="Times New Roman"/>
          <w:i/>
          <w:spacing w:val="-2"/>
          <w:sz w:val="14"/>
          <w:szCs w:val="14"/>
        </w:rPr>
        <w:t>Fayt</w:t>
      </w:r>
      <w:proofErr w:type="spellEnd"/>
      <w:r w:rsidR="005B77D1" w:rsidRPr="005B77D1">
        <w:rPr>
          <w:rFonts w:ascii="Times New Roman" w:hAnsi="Times New Roman"/>
          <w:i/>
          <w:spacing w:val="-2"/>
          <w:sz w:val="14"/>
          <w:szCs w:val="14"/>
        </w:rPr>
        <w:t>/</w:t>
      </w:r>
      <w:proofErr w:type="spellStart"/>
      <w:r w:rsidR="005B77D1" w:rsidRPr="005B77D1">
        <w:rPr>
          <w:rFonts w:ascii="Times New Roman" w:hAnsi="Times New Roman"/>
          <w:i/>
          <w:spacing w:val="-2"/>
          <w:sz w:val="14"/>
          <w:szCs w:val="14"/>
        </w:rPr>
        <w:t>Kulbach</w:t>
      </w:r>
      <w:proofErr w:type="spellEnd"/>
      <w:r w:rsidR="005B77D1">
        <w:rPr>
          <w:rFonts w:ascii="Times New Roman" w:hAnsi="Times New Roman"/>
          <w:spacing w:val="-2"/>
          <w:sz w:val="14"/>
          <w:szCs w:val="14"/>
        </w:rPr>
        <w:t xml:space="preserve">, </w:t>
      </w:r>
      <w:r w:rsidR="00BE3BC7" w:rsidRPr="00FC6C15">
        <w:rPr>
          <w:rFonts w:ascii="Times New Roman" w:hAnsi="Times New Roman"/>
          <w:spacing w:val="-2"/>
          <w:sz w:val="14"/>
          <w:szCs w:val="14"/>
        </w:rPr>
        <w:t>famos 04/2013</w:t>
      </w:r>
      <w:r w:rsidR="00B90939" w:rsidRPr="00FC6C15">
        <w:rPr>
          <w:rFonts w:ascii="Times New Roman" w:hAnsi="Times New Roman"/>
          <w:spacing w:val="-2"/>
          <w:sz w:val="14"/>
          <w:szCs w:val="14"/>
        </w:rPr>
        <w:t xml:space="preserve">; </w:t>
      </w:r>
      <w:r w:rsidR="00B90939" w:rsidRPr="00FC6C15">
        <w:rPr>
          <w:rFonts w:ascii="Times New Roman" w:hAnsi="Times New Roman"/>
          <w:b/>
          <w:spacing w:val="-2"/>
          <w:sz w:val="14"/>
          <w:szCs w:val="14"/>
        </w:rPr>
        <w:t>BGH NJW 2015, 2594</w:t>
      </w:r>
      <w:r w:rsidR="00B90939" w:rsidRPr="00FC6C15">
        <w:rPr>
          <w:rFonts w:ascii="Times New Roman" w:hAnsi="Times New Roman"/>
          <w:spacing w:val="-2"/>
          <w:sz w:val="14"/>
          <w:szCs w:val="14"/>
        </w:rPr>
        <w:t xml:space="preserve"> – Verwertung einer DNA-Analyse trotz verfahrensfehlerhaft herangezogener Speichelprobe (Reichweite der Verwendungsregelung des §</w:t>
      </w:r>
      <w:r w:rsidR="008028CF">
        <w:rPr>
          <w:rFonts w:ascii="Times New Roman" w:hAnsi="Times New Roman"/>
          <w:spacing w:val="-2"/>
          <w:sz w:val="14"/>
          <w:szCs w:val="14"/>
        </w:rPr>
        <w:t> </w:t>
      </w:r>
      <w:r w:rsidR="00B90939" w:rsidRPr="00FC6C15">
        <w:rPr>
          <w:rFonts w:ascii="Times New Roman" w:hAnsi="Times New Roman"/>
          <w:spacing w:val="-2"/>
          <w:sz w:val="14"/>
          <w:szCs w:val="14"/>
        </w:rPr>
        <w:t xml:space="preserve">81a III </w:t>
      </w:r>
      <w:proofErr w:type="spellStart"/>
      <w:r w:rsidR="00B90939" w:rsidRPr="00FC6C15">
        <w:rPr>
          <w:rFonts w:ascii="Times New Roman" w:hAnsi="Times New Roman"/>
          <w:spacing w:val="-2"/>
          <w:sz w:val="14"/>
          <w:szCs w:val="14"/>
        </w:rPr>
        <w:t>Hs</w:t>
      </w:r>
      <w:proofErr w:type="spellEnd"/>
      <w:r w:rsidR="00B90939" w:rsidRPr="00FC6C15">
        <w:rPr>
          <w:rFonts w:ascii="Times New Roman" w:hAnsi="Times New Roman"/>
          <w:spacing w:val="-2"/>
          <w:sz w:val="14"/>
          <w:szCs w:val="14"/>
        </w:rPr>
        <w:t>. 1 StPO)</w:t>
      </w:r>
      <w:r w:rsidR="00677030">
        <w:rPr>
          <w:rFonts w:ascii="Times New Roman" w:hAnsi="Times New Roman"/>
          <w:spacing w:val="-2"/>
          <w:sz w:val="14"/>
          <w:szCs w:val="14"/>
        </w:rPr>
        <w:t xml:space="preserve">; </w:t>
      </w:r>
      <w:r w:rsidR="00677030" w:rsidRPr="00FC6C15">
        <w:rPr>
          <w:rFonts w:ascii="Times New Roman" w:hAnsi="Times New Roman"/>
          <w:b/>
          <w:spacing w:val="-2"/>
          <w:sz w:val="14"/>
          <w:szCs w:val="14"/>
        </w:rPr>
        <w:t>BGH NStZ 2016, 111</w:t>
      </w:r>
      <w:r w:rsidR="00677030" w:rsidRPr="00FC6C15">
        <w:rPr>
          <w:rFonts w:ascii="Times New Roman" w:hAnsi="Times New Roman"/>
          <w:spacing w:val="-2"/>
          <w:sz w:val="14"/>
          <w:szCs w:val="14"/>
        </w:rPr>
        <w:t xml:space="preserve"> – Verwendungsbeschränkungen von DNA-Identifizierungsmustern (Verwertung einer DNA-Analyse trotz verfahrensfehlerhaft herangezogener Speichelprobe)</w:t>
      </w:r>
      <w:r w:rsidR="00B90939" w:rsidRPr="00FC6C15">
        <w:rPr>
          <w:rFonts w:ascii="Times New Roman" w:hAnsi="Times New Roman"/>
          <w:spacing w:val="-2"/>
          <w:sz w:val="14"/>
          <w:szCs w:val="14"/>
        </w:rPr>
        <w:t>.</w:t>
      </w:r>
    </w:p>
    <w:sectPr w:rsidR="00150176" w:rsidRPr="00FC6C15" w:rsidSect="00150176">
      <w:pgSz w:w="11900" w:h="16840"/>
      <w:pgMar w:top="567" w:right="624" w:bottom="567"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D709B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C78BE"/>
    <w:multiLevelType w:val="singleLevel"/>
    <w:tmpl w:val="BF5CCD7C"/>
    <w:lvl w:ilvl="0">
      <w:start w:val="2"/>
      <w:numFmt w:val="decimal"/>
      <w:lvlText w:val="%1."/>
      <w:lvlJc w:val="left"/>
      <w:pPr>
        <w:tabs>
          <w:tab w:val="num" w:pos="645"/>
        </w:tabs>
        <w:ind w:left="645" w:hanging="360"/>
      </w:pPr>
      <w:rPr>
        <w:rFonts w:hint="default"/>
      </w:rPr>
    </w:lvl>
  </w:abstractNum>
  <w:num w:numId="1" w16cid:durableId="1643195683">
    <w:abstractNumId w:val="1"/>
  </w:num>
  <w:num w:numId="2" w16cid:durableId="1314719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CB"/>
    <w:rsid w:val="0003711A"/>
    <w:rsid w:val="00054F98"/>
    <w:rsid w:val="00071D1B"/>
    <w:rsid w:val="00094C90"/>
    <w:rsid w:val="000A0B5A"/>
    <w:rsid w:val="000B2A22"/>
    <w:rsid w:val="000D0EE8"/>
    <w:rsid w:val="00110C16"/>
    <w:rsid w:val="00133CA1"/>
    <w:rsid w:val="00150176"/>
    <w:rsid w:val="001629B7"/>
    <w:rsid w:val="00180943"/>
    <w:rsid w:val="001818CB"/>
    <w:rsid w:val="001A666A"/>
    <w:rsid w:val="001E3DB1"/>
    <w:rsid w:val="00204DA0"/>
    <w:rsid w:val="0021621C"/>
    <w:rsid w:val="00233A88"/>
    <w:rsid w:val="00240FCC"/>
    <w:rsid w:val="0024787E"/>
    <w:rsid w:val="002571AF"/>
    <w:rsid w:val="00277970"/>
    <w:rsid w:val="0029205A"/>
    <w:rsid w:val="0029688B"/>
    <w:rsid w:val="00296EEF"/>
    <w:rsid w:val="002A2AB2"/>
    <w:rsid w:val="002A305F"/>
    <w:rsid w:val="002A5EA2"/>
    <w:rsid w:val="002B4E8F"/>
    <w:rsid w:val="002B6F61"/>
    <w:rsid w:val="002C7075"/>
    <w:rsid w:val="002D76EE"/>
    <w:rsid w:val="003161B5"/>
    <w:rsid w:val="00333C29"/>
    <w:rsid w:val="003617CD"/>
    <w:rsid w:val="00361FAA"/>
    <w:rsid w:val="00374B94"/>
    <w:rsid w:val="003A3F5D"/>
    <w:rsid w:val="003C0271"/>
    <w:rsid w:val="003C12BA"/>
    <w:rsid w:val="003C4E54"/>
    <w:rsid w:val="00403264"/>
    <w:rsid w:val="0043318D"/>
    <w:rsid w:val="0045034A"/>
    <w:rsid w:val="00493218"/>
    <w:rsid w:val="00496947"/>
    <w:rsid w:val="004969CF"/>
    <w:rsid w:val="004A1CC8"/>
    <w:rsid w:val="004E7BBE"/>
    <w:rsid w:val="004F1663"/>
    <w:rsid w:val="00551ED1"/>
    <w:rsid w:val="005717A6"/>
    <w:rsid w:val="005B77D1"/>
    <w:rsid w:val="005C5FBC"/>
    <w:rsid w:val="005E2D27"/>
    <w:rsid w:val="005E347A"/>
    <w:rsid w:val="005F44CA"/>
    <w:rsid w:val="006106CB"/>
    <w:rsid w:val="00677030"/>
    <w:rsid w:val="0069101D"/>
    <w:rsid w:val="006C15A4"/>
    <w:rsid w:val="006C4625"/>
    <w:rsid w:val="00701B60"/>
    <w:rsid w:val="0076310A"/>
    <w:rsid w:val="00774588"/>
    <w:rsid w:val="00784045"/>
    <w:rsid w:val="00787678"/>
    <w:rsid w:val="007965AE"/>
    <w:rsid w:val="007B3569"/>
    <w:rsid w:val="007B3748"/>
    <w:rsid w:val="007C2CBE"/>
    <w:rsid w:val="008028CF"/>
    <w:rsid w:val="00825661"/>
    <w:rsid w:val="00856657"/>
    <w:rsid w:val="008672AB"/>
    <w:rsid w:val="00880FD3"/>
    <w:rsid w:val="00897082"/>
    <w:rsid w:val="008B5010"/>
    <w:rsid w:val="008B75DF"/>
    <w:rsid w:val="008E21D2"/>
    <w:rsid w:val="00941426"/>
    <w:rsid w:val="009604AA"/>
    <w:rsid w:val="009868EA"/>
    <w:rsid w:val="009A325D"/>
    <w:rsid w:val="00A0286A"/>
    <w:rsid w:val="00A220C0"/>
    <w:rsid w:val="00A4092E"/>
    <w:rsid w:val="00A54ECA"/>
    <w:rsid w:val="00A931EE"/>
    <w:rsid w:val="00A94813"/>
    <w:rsid w:val="00AA3B29"/>
    <w:rsid w:val="00AB11A3"/>
    <w:rsid w:val="00AC7FE4"/>
    <w:rsid w:val="00B15432"/>
    <w:rsid w:val="00B24583"/>
    <w:rsid w:val="00B27551"/>
    <w:rsid w:val="00B87409"/>
    <w:rsid w:val="00B90939"/>
    <w:rsid w:val="00BD53E3"/>
    <w:rsid w:val="00BE3BC7"/>
    <w:rsid w:val="00C10120"/>
    <w:rsid w:val="00C836A3"/>
    <w:rsid w:val="00C972EB"/>
    <w:rsid w:val="00CC0AA4"/>
    <w:rsid w:val="00CC16F0"/>
    <w:rsid w:val="00D019B3"/>
    <w:rsid w:val="00D13475"/>
    <w:rsid w:val="00D21A79"/>
    <w:rsid w:val="00D32C68"/>
    <w:rsid w:val="00DB6221"/>
    <w:rsid w:val="00DC262F"/>
    <w:rsid w:val="00E13DDC"/>
    <w:rsid w:val="00E1419A"/>
    <w:rsid w:val="00E3688C"/>
    <w:rsid w:val="00E37132"/>
    <w:rsid w:val="00E73F7B"/>
    <w:rsid w:val="00E82B7F"/>
    <w:rsid w:val="00E966E0"/>
    <w:rsid w:val="00EB7E08"/>
    <w:rsid w:val="00EC0834"/>
    <w:rsid w:val="00EE393D"/>
    <w:rsid w:val="00F062D8"/>
    <w:rsid w:val="00F6343F"/>
    <w:rsid w:val="00F63EC9"/>
    <w:rsid w:val="00F81E90"/>
    <w:rsid w:val="00FC6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A1DFDE"/>
  <w15:chartTrackingRefBased/>
  <w15:docId w15:val="{FFDBA82A-A735-4E8B-A5B0-F5818173E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1752"/>
    <w:pPr>
      <w:widowControl w:val="0"/>
      <w:autoSpaceDE w:val="0"/>
      <w:autoSpaceDN w:val="0"/>
      <w:adjustRightInd w:val="0"/>
    </w:pPr>
    <w:rPr>
      <w:rFonts w:ascii="Dutch Roman 12pt" w:hAnsi="Dutch Roman 12pt" w:cs="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rsid w:val="00511752"/>
  </w:style>
  <w:style w:type="paragraph" w:styleId="Sprechblasentext">
    <w:name w:val="Balloon Text"/>
    <w:basedOn w:val="Standard"/>
    <w:semiHidden/>
    <w:rsid w:val="00890066"/>
    <w:rPr>
      <w:rFonts w:ascii="Tahoma" w:hAnsi="Tahoma" w:cs="Tahoma"/>
      <w:sz w:val="16"/>
      <w:szCs w:val="16"/>
    </w:rPr>
  </w:style>
  <w:style w:type="character" w:styleId="Hyperlink">
    <w:name w:val="Hyperlink"/>
    <w:uiPriority w:val="99"/>
    <w:semiHidden/>
    <w:unhideWhenUsed/>
    <w:rsid w:val="008B5010"/>
    <w:rPr>
      <w:color w:val="0000FF"/>
      <w:u w:val="single"/>
    </w:rPr>
  </w:style>
  <w:style w:type="character" w:styleId="Hervorhebung">
    <w:name w:val="Emphasis"/>
    <w:uiPriority w:val="20"/>
    <w:qFormat/>
    <w:rsid w:val="00880FD3"/>
    <w:rPr>
      <w:i/>
      <w:iCs/>
    </w:rPr>
  </w:style>
  <w:style w:type="character" w:customStyle="1" w:styleId="zit">
    <w:name w:val="zit"/>
    <w:rsid w:val="00880FD3"/>
  </w:style>
  <w:style w:type="paragraph" w:customStyle="1" w:styleId="FarbigeSchattierung-Akzent11">
    <w:name w:val="Farbige Schattierung - Akzent 11"/>
    <w:hidden/>
    <w:uiPriority w:val="71"/>
    <w:rsid w:val="00071D1B"/>
    <w:rPr>
      <w:rFonts w:ascii="Dutch Roman 12pt" w:hAnsi="Dutch Roman 12pt" w:cs="Arial Narrow"/>
      <w:sz w:val="24"/>
      <w:szCs w:val="24"/>
    </w:rPr>
  </w:style>
  <w:style w:type="character" w:styleId="Kommentarzeichen">
    <w:name w:val="annotation reference"/>
    <w:uiPriority w:val="99"/>
    <w:semiHidden/>
    <w:unhideWhenUsed/>
    <w:rsid w:val="0043318D"/>
    <w:rPr>
      <w:sz w:val="16"/>
      <w:szCs w:val="16"/>
    </w:rPr>
  </w:style>
  <w:style w:type="paragraph" w:styleId="Kommentartext">
    <w:name w:val="annotation text"/>
    <w:basedOn w:val="Standard"/>
    <w:link w:val="KommentartextZchn"/>
    <w:uiPriority w:val="99"/>
    <w:unhideWhenUsed/>
    <w:rsid w:val="0043318D"/>
    <w:rPr>
      <w:sz w:val="20"/>
      <w:szCs w:val="20"/>
    </w:rPr>
  </w:style>
  <w:style w:type="character" w:customStyle="1" w:styleId="KommentartextZchn">
    <w:name w:val="Kommentartext Zchn"/>
    <w:link w:val="Kommentartext"/>
    <w:uiPriority w:val="99"/>
    <w:rsid w:val="0043318D"/>
    <w:rPr>
      <w:rFonts w:ascii="Dutch Roman 12pt" w:hAnsi="Dutch Roman 12pt" w:cs="Arial Narrow"/>
    </w:rPr>
  </w:style>
  <w:style w:type="paragraph" w:styleId="Kommentarthema">
    <w:name w:val="annotation subject"/>
    <w:basedOn w:val="Kommentartext"/>
    <w:next w:val="Kommentartext"/>
    <w:link w:val="KommentarthemaZchn"/>
    <w:uiPriority w:val="99"/>
    <w:semiHidden/>
    <w:unhideWhenUsed/>
    <w:rsid w:val="0043318D"/>
    <w:rPr>
      <w:b/>
      <w:bCs/>
    </w:rPr>
  </w:style>
  <w:style w:type="character" w:customStyle="1" w:styleId="KommentarthemaZchn">
    <w:name w:val="Kommentarthema Zchn"/>
    <w:link w:val="Kommentarthema"/>
    <w:uiPriority w:val="99"/>
    <w:semiHidden/>
    <w:rsid w:val="0043318D"/>
    <w:rPr>
      <w:rFonts w:ascii="Dutch Roman 12pt" w:hAnsi="Dutch Roman 12pt" w:cs="Arial Narrow"/>
      <w:b/>
      <w:bCs/>
    </w:rPr>
  </w:style>
  <w:style w:type="paragraph" w:styleId="berarbeitung">
    <w:name w:val="Revision"/>
    <w:hidden/>
    <w:uiPriority w:val="71"/>
    <w:rsid w:val="00E966E0"/>
    <w:rPr>
      <w:rFonts w:ascii="Dutch Roman 12pt" w:hAnsi="Dutch Roman 12pt" w:cs="Arial Narrow"/>
      <w:sz w:val="24"/>
      <w:szCs w:val="24"/>
    </w:rPr>
  </w:style>
  <w:style w:type="character" w:customStyle="1" w:styleId="Betonungfett">
    <w:name w:val="Betonung fett"/>
    <w:rsid w:val="005E2D27"/>
    <w:rPr>
      <w:b/>
      <w:bCs w:val="0"/>
      <w:color w:val="339966"/>
    </w:rPr>
  </w:style>
  <w:style w:type="paragraph" w:styleId="Listenabsatz">
    <w:name w:val="List Paragraph"/>
    <w:basedOn w:val="Standard"/>
    <w:uiPriority w:val="72"/>
    <w:qFormat/>
    <w:rsid w:val="00180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6934">
      <w:bodyDiv w:val="1"/>
      <w:marLeft w:val="0"/>
      <w:marRight w:val="0"/>
      <w:marTop w:val="0"/>
      <w:marBottom w:val="0"/>
      <w:divBdr>
        <w:top w:val="none" w:sz="0" w:space="0" w:color="auto"/>
        <w:left w:val="none" w:sz="0" w:space="0" w:color="auto"/>
        <w:bottom w:val="none" w:sz="0" w:space="0" w:color="auto"/>
        <w:right w:val="none" w:sz="0" w:space="0" w:color="auto"/>
      </w:divBdr>
    </w:div>
    <w:div w:id="984428051">
      <w:bodyDiv w:val="1"/>
      <w:marLeft w:val="0"/>
      <w:marRight w:val="0"/>
      <w:marTop w:val="0"/>
      <w:marBottom w:val="0"/>
      <w:divBdr>
        <w:top w:val="none" w:sz="0" w:space="0" w:color="auto"/>
        <w:left w:val="none" w:sz="0" w:space="0" w:color="auto"/>
        <w:bottom w:val="none" w:sz="0" w:space="0" w:color="auto"/>
        <w:right w:val="none" w:sz="0" w:space="0" w:color="auto"/>
      </w:divBdr>
      <w:divsChild>
        <w:div w:id="774792270">
          <w:marLeft w:val="0"/>
          <w:marRight w:val="0"/>
          <w:marTop w:val="0"/>
          <w:marBottom w:val="0"/>
          <w:divBdr>
            <w:top w:val="none" w:sz="0" w:space="0" w:color="auto"/>
            <w:left w:val="none" w:sz="0" w:space="0" w:color="auto"/>
            <w:bottom w:val="none" w:sz="0" w:space="0" w:color="auto"/>
            <w:right w:val="none" w:sz="0" w:space="0" w:color="auto"/>
          </w:divBdr>
        </w:div>
        <w:div w:id="1110658758">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72EF0-4410-4FD8-AAB5-962E1170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1273</Words>
  <Characters>8027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Prof</vt:lpstr>
    </vt:vector>
  </TitlesOfParts>
  <Company>Humboldt-Universität zu Berlin</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dc:title>
  <dc:subject/>
  <dc:creator>Juristische Fakultät</dc:creator>
  <cp:keywords/>
  <cp:lastModifiedBy>Judith Schult</cp:lastModifiedBy>
  <cp:revision>2</cp:revision>
  <cp:lastPrinted>2020-10-28T16:06:00Z</cp:lastPrinted>
  <dcterms:created xsi:type="dcterms:W3CDTF">2024-10-09T14:50:00Z</dcterms:created>
  <dcterms:modified xsi:type="dcterms:W3CDTF">2024-10-09T14:50:00Z</dcterms:modified>
</cp:coreProperties>
</file>