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86589" w14:textId="56C4550A" w:rsidR="007567D4" w:rsidRDefault="007567D4" w:rsidP="00A9731A">
      <w:pPr>
        <w:widowControl/>
        <w:tabs>
          <w:tab w:val="right" w:pos="10206"/>
        </w:tabs>
        <w:jc w:val="both"/>
        <w:rPr>
          <w:rFonts w:ascii="Times New Roman" w:hAnsi="Times New Roman"/>
          <w:spacing w:val="-3"/>
        </w:rPr>
      </w:pPr>
      <w:r>
        <w:rPr>
          <w:rFonts w:ascii="Times New Roman" w:hAnsi="Times New Roman"/>
          <w:b/>
          <w:spacing w:val="-3"/>
        </w:rPr>
        <w:t>Pr</w:t>
      </w:r>
      <w:r w:rsidR="00A1725D">
        <w:rPr>
          <w:rFonts w:ascii="Times New Roman" w:hAnsi="Times New Roman"/>
          <w:b/>
          <w:spacing w:val="-3"/>
        </w:rPr>
        <w:t>of.</w:t>
      </w:r>
      <w:r>
        <w:rPr>
          <w:rFonts w:ascii="Times New Roman" w:hAnsi="Times New Roman"/>
          <w:b/>
          <w:spacing w:val="-3"/>
        </w:rPr>
        <w:t xml:space="preserve"> Dr. </w:t>
      </w:r>
      <w:r w:rsidR="00A1725D">
        <w:rPr>
          <w:rFonts w:ascii="Times New Roman" w:hAnsi="Times New Roman"/>
          <w:b/>
          <w:spacing w:val="-3"/>
        </w:rPr>
        <w:t xml:space="preserve">Dr. h.c. </w:t>
      </w:r>
      <w:r>
        <w:rPr>
          <w:rFonts w:ascii="Times New Roman" w:hAnsi="Times New Roman"/>
          <w:b/>
          <w:spacing w:val="-3"/>
        </w:rPr>
        <w:t>Bernd Heinrich/</w:t>
      </w:r>
      <w:r w:rsidR="008F12ED">
        <w:rPr>
          <w:rFonts w:ascii="Times New Roman" w:hAnsi="Times New Roman"/>
          <w:b/>
          <w:spacing w:val="-3"/>
        </w:rPr>
        <w:t>Pr</w:t>
      </w:r>
      <w:r w:rsidR="00F62187">
        <w:rPr>
          <w:rFonts w:ascii="Times New Roman" w:hAnsi="Times New Roman"/>
          <w:b/>
          <w:spacing w:val="-3"/>
        </w:rPr>
        <w:t>of</w:t>
      </w:r>
      <w:r w:rsidR="008F12ED">
        <w:rPr>
          <w:rFonts w:ascii="Times New Roman" w:hAnsi="Times New Roman"/>
          <w:b/>
          <w:spacing w:val="-3"/>
        </w:rPr>
        <w:t xml:space="preserve">. </w:t>
      </w:r>
      <w:r>
        <w:rPr>
          <w:rFonts w:ascii="Times New Roman" w:hAnsi="Times New Roman"/>
          <w:b/>
          <w:spacing w:val="-3"/>
        </w:rPr>
        <w:t>Dr. Tobias Reinbacher</w:t>
      </w:r>
      <w:r>
        <w:rPr>
          <w:rFonts w:ascii="Times New Roman" w:hAnsi="Times New Roman"/>
          <w:b/>
          <w:spacing w:val="-3"/>
        </w:rPr>
        <w:tab/>
        <w:t xml:space="preserve">Stand: 1. </w:t>
      </w:r>
      <w:r w:rsidR="00FE63CB">
        <w:rPr>
          <w:rFonts w:ascii="Times New Roman" w:hAnsi="Times New Roman"/>
          <w:b/>
          <w:spacing w:val="-3"/>
        </w:rPr>
        <w:t>Oktober</w:t>
      </w:r>
      <w:r w:rsidR="001C33EC">
        <w:rPr>
          <w:rFonts w:ascii="Times New Roman" w:hAnsi="Times New Roman"/>
          <w:b/>
          <w:spacing w:val="-3"/>
        </w:rPr>
        <w:t xml:space="preserve"> </w:t>
      </w:r>
      <w:r w:rsidR="009160D0">
        <w:rPr>
          <w:rFonts w:ascii="Times New Roman" w:hAnsi="Times New Roman"/>
          <w:b/>
          <w:spacing w:val="-3"/>
        </w:rPr>
        <w:t>202</w:t>
      </w:r>
      <w:r w:rsidR="009F565D">
        <w:rPr>
          <w:rFonts w:ascii="Times New Roman" w:hAnsi="Times New Roman"/>
          <w:b/>
          <w:spacing w:val="-3"/>
        </w:rPr>
        <w:t>4</w:t>
      </w:r>
    </w:p>
    <w:p w14:paraId="112C086C" w14:textId="391576BA" w:rsidR="007567D4" w:rsidRDefault="007567D4" w:rsidP="007567D4">
      <w:pPr>
        <w:framePr w:w="9726" w:h="1417" w:hSpace="240" w:vSpace="120" w:wrap="auto" w:vAnchor="text" w:hAnchor="margin" w:x="241" w:y="121"/>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both"/>
        <w:rPr>
          <w:rFonts w:ascii="Times New Roman" w:hAnsi="Times New Roman"/>
          <w:spacing w:val="-3"/>
        </w:rPr>
      </w:pPr>
      <w:r>
        <w:rPr>
          <w:rFonts w:ascii="Times New Roman" w:hAnsi="Times New Roman"/>
          <w:b/>
          <w:spacing w:val="-3"/>
        </w:rPr>
        <w:tab/>
      </w:r>
      <w:r w:rsidR="009F565D">
        <w:rPr>
          <w:rFonts w:ascii="Times New Roman" w:hAnsi="Times New Roman"/>
          <w:b/>
          <w:spacing w:val="-3"/>
        </w:rPr>
        <w:t xml:space="preserve">Examinatorium </w:t>
      </w:r>
      <w:r>
        <w:rPr>
          <w:rFonts w:ascii="Times New Roman" w:hAnsi="Times New Roman"/>
          <w:b/>
          <w:spacing w:val="-3"/>
        </w:rPr>
        <w:t>Strafprozessrecht - Arbeitsblatt Nr.</w:t>
      </w:r>
      <w:r w:rsidR="009F565D">
        <w:rPr>
          <w:rFonts w:ascii="Times New Roman" w:hAnsi="Times New Roman"/>
          <w:b/>
          <w:spacing w:val="-3"/>
        </w:rPr>
        <w:t> </w:t>
      </w:r>
      <w:r>
        <w:rPr>
          <w:rFonts w:ascii="Times New Roman" w:hAnsi="Times New Roman"/>
          <w:b/>
          <w:spacing w:val="-3"/>
        </w:rPr>
        <w:t>27</w:t>
      </w:r>
    </w:p>
    <w:p w14:paraId="614BCDEE" w14:textId="77777777" w:rsidR="007567D4" w:rsidRPr="009C05E8" w:rsidRDefault="007567D4" w:rsidP="007567D4">
      <w:pPr>
        <w:framePr w:w="9726" w:h="1417" w:hSpace="240" w:vSpace="120" w:wrap="auto" w:vAnchor="text" w:hAnchor="margin" w:x="241" w:y="121"/>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rFonts w:ascii="Times New Roman" w:hAnsi="Times New Roman"/>
          <w:b/>
          <w:spacing w:val="-7"/>
          <w:sz w:val="52"/>
          <w:szCs w:val="52"/>
        </w:rPr>
      </w:pPr>
      <w:r w:rsidRPr="009C05E8">
        <w:rPr>
          <w:rFonts w:ascii="Times New Roman" w:hAnsi="Times New Roman"/>
          <w:b/>
          <w:spacing w:val="-7"/>
          <w:sz w:val="52"/>
          <w:szCs w:val="52"/>
        </w:rPr>
        <w:t xml:space="preserve">Beweisverwertungsverbote II – </w:t>
      </w:r>
    </w:p>
    <w:p w14:paraId="3428143B" w14:textId="77777777" w:rsidR="007567D4" w:rsidRPr="009C05E8" w:rsidRDefault="007567D4" w:rsidP="007567D4">
      <w:pPr>
        <w:framePr w:w="9726" w:h="1417" w:hSpace="240" w:vSpace="120" w:wrap="auto" w:vAnchor="text" w:hAnchor="margin" w:x="241" w:y="121"/>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rFonts w:ascii="Times New Roman" w:hAnsi="Times New Roman"/>
          <w:spacing w:val="-7"/>
          <w:sz w:val="52"/>
          <w:szCs w:val="52"/>
        </w:rPr>
      </w:pPr>
      <w:r w:rsidRPr="009C05E8">
        <w:rPr>
          <w:rFonts w:ascii="Times New Roman" w:hAnsi="Times New Roman"/>
          <w:b/>
          <w:spacing w:val="-7"/>
          <w:sz w:val="52"/>
          <w:szCs w:val="52"/>
        </w:rPr>
        <w:t>Beschuldigtenvernehmung</w:t>
      </w:r>
    </w:p>
    <w:p w14:paraId="009CDD13" w14:textId="77777777" w:rsidR="007567D4" w:rsidRDefault="007567D4" w:rsidP="007567D4">
      <w:pPr>
        <w:pStyle w:val="Beschriftung"/>
        <w:framePr w:w="9726" w:h="1417" w:hSpace="240" w:vSpace="120" w:wrap="auto" w:vAnchor="text" w:hAnchor="margin" w:x="241" w:y="121"/>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left" w:pos="-720"/>
        </w:tabs>
        <w:spacing w:line="-1" w:lineRule="auto"/>
        <w:jc w:val="both"/>
        <w:rPr>
          <w:rFonts w:ascii="Times New Roman" w:hAnsi="Times New Roman"/>
          <w:vanish/>
          <w:spacing w:val="-7"/>
          <w:sz w:val="60"/>
        </w:rPr>
      </w:pPr>
      <w:r>
        <w:rPr>
          <w:rFonts w:ascii="Times New Roman" w:hAnsi="Times New Roman"/>
          <w:vanish/>
          <w:spacing w:val="-7"/>
          <w:sz w:val="60"/>
        </w:rPr>
        <w:fldChar w:fldCharType="begin"/>
      </w:r>
      <w:r w:rsidR="00D50C3B">
        <w:rPr>
          <w:rFonts w:ascii="Times New Roman" w:hAnsi="Times New Roman"/>
          <w:vanish/>
          <w:spacing w:val="-7"/>
          <w:sz w:val="60"/>
        </w:rPr>
        <w:instrText>SEQ</w:instrText>
      </w:r>
      <w:r>
        <w:rPr>
          <w:rFonts w:ascii="Times New Roman" w:hAnsi="Times New Roman"/>
          <w:vanish/>
          <w:spacing w:val="-7"/>
          <w:sz w:val="60"/>
        </w:rPr>
        <w:instrText xml:space="preserve"> Text_Box  \* ARABIC</w:instrText>
      </w:r>
      <w:r>
        <w:rPr>
          <w:rFonts w:ascii="Times New Roman" w:hAnsi="Times New Roman"/>
          <w:vanish/>
          <w:spacing w:val="-7"/>
          <w:sz w:val="60"/>
        </w:rPr>
        <w:fldChar w:fldCharType="separate"/>
      </w:r>
      <w:r w:rsidR="00AA2330">
        <w:rPr>
          <w:rFonts w:ascii="Times New Roman" w:hAnsi="Times New Roman"/>
          <w:noProof/>
          <w:vanish/>
          <w:spacing w:val="-7"/>
          <w:sz w:val="60"/>
        </w:rPr>
        <w:t>1</w:t>
      </w:r>
      <w:r>
        <w:rPr>
          <w:rFonts w:ascii="Times New Roman" w:hAnsi="Times New Roman"/>
          <w:vanish/>
          <w:spacing w:val="-7"/>
          <w:sz w:val="60"/>
        </w:rPr>
        <w:fldChar w:fldCharType="end"/>
      </w:r>
    </w:p>
    <w:p w14:paraId="1CD9D9E0" w14:textId="77777777" w:rsidR="007567D4" w:rsidRPr="0096781E" w:rsidRDefault="007567D4" w:rsidP="007567D4">
      <w:pPr>
        <w:widowControl/>
        <w:tabs>
          <w:tab w:val="left" w:pos="-720"/>
          <w:tab w:val="left" w:pos="0"/>
          <w:tab w:val="left" w:pos="576"/>
          <w:tab w:val="left" w:pos="864"/>
          <w:tab w:val="left" w:pos="1116"/>
          <w:tab w:val="left" w:pos="1404"/>
          <w:tab w:val="left" w:pos="1692"/>
          <w:tab w:val="left" w:pos="1980"/>
          <w:tab w:val="left" w:pos="2268"/>
          <w:tab w:val="left" w:pos="2880"/>
        </w:tabs>
        <w:ind w:left="567" w:hanging="567"/>
        <w:jc w:val="both"/>
        <w:rPr>
          <w:rFonts w:ascii="Times New Roman" w:hAnsi="Times New Roman"/>
          <w:b/>
          <w:spacing w:val="-2"/>
          <w:sz w:val="16"/>
        </w:rPr>
      </w:pPr>
    </w:p>
    <w:p w14:paraId="6C883426" w14:textId="37CE20E4" w:rsidR="007567D4" w:rsidRPr="000540F8" w:rsidRDefault="007567D4" w:rsidP="008556DE">
      <w:pPr>
        <w:widowControl/>
        <w:tabs>
          <w:tab w:val="left" w:pos="-720"/>
          <w:tab w:val="left" w:pos="576"/>
          <w:tab w:val="left" w:pos="864"/>
          <w:tab w:val="left" w:pos="1116"/>
          <w:tab w:val="left" w:pos="1404"/>
          <w:tab w:val="left" w:pos="1692"/>
          <w:tab w:val="left" w:pos="1980"/>
          <w:tab w:val="left" w:pos="2268"/>
          <w:tab w:val="left" w:pos="2880"/>
        </w:tabs>
        <w:ind w:left="284" w:hanging="284"/>
        <w:jc w:val="both"/>
        <w:rPr>
          <w:rFonts w:ascii="Times New Roman" w:hAnsi="Times New Roman"/>
          <w:spacing w:val="-2"/>
          <w:sz w:val="16"/>
          <w:szCs w:val="16"/>
        </w:rPr>
      </w:pPr>
      <w:r w:rsidRPr="000540F8">
        <w:rPr>
          <w:rFonts w:ascii="Times New Roman" w:hAnsi="Times New Roman"/>
          <w:b/>
          <w:spacing w:val="-2"/>
          <w:sz w:val="16"/>
          <w:szCs w:val="16"/>
        </w:rPr>
        <w:t xml:space="preserve">I. </w:t>
      </w:r>
      <w:r w:rsidRPr="000540F8">
        <w:rPr>
          <w:rFonts w:ascii="Times New Roman" w:hAnsi="Times New Roman"/>
          <w:b/>
          <w:spacing w:val="-2"/>
          <w:sz w:val="16"/>
          <w:szCs w:val="16"/>
        </w:rPr>
        <w:tab/>
        <w:t xml:space="preserve">Allgemeines: </w:t>
      </w:r>
      <w:r w:rsidRPr="000540F8">
        <w:rPr>
          <w:rFonts w:ascii="Times New Roman" w:hAnsi="Times New Roman"/>
          <w:spacing w:val="-2"/>
          <w:sz w:val="16"/>
          <w:szCs w:val="16"/>
        </w:rPr>
        <w:t>Verwertungsverbote im</w:t>
      </w:r>
      <w:r w:rsidRPr="000540F8">
        <w:rPr>
          <w:rFonts w:ascii="Times New Roman" w:hAnsi="Times New Roman"/>
          <w:b/>
          <w:spacing w:val="-2"/>
          <w:sz w:val="16"/>
          <w:szCs w:val="16"/>
        </w:rPr>
        <w:t xml:space="preserve"> </w:t>
      </w:r>
      <w:r w:rsidRPr="000540F8">
        <w:rPr>
          <w:rFonts w:ascii="Times New Roman" w:hAnsi="Times New Roman"/>
          <w:spacing w:val="-2"/>
          <w:sz w:val="16"/>
          <w:szCs w:val="16"/>
        </w:rPr>
        <w:t xml:space="preserve">Hinblick auf durch Verfahrensfehler gewonnene Beweise können aus den verschiedensten Gründen bestehen. Einen besonders wichtigen Bereich bildet dabei die Vernehmung des Beschuldigten. Hierbei ist vor allem der </w:t>
      </w:r>
      <w:r w:rsidRPr="000540F8">
        <w:rPr>
          <w:rFonts w:ascii="Times New Roman" w:hAnsi="Times New Roman"/>
          <w:b/>
          <w:spacing w:val="-2"/>
          <w:sz w:val="16"/>
          <w:szCs w:val="16"/>
        </w:rPr>
        <w:t>Nemo-tenetur-Grundsatz</w:t>
      </w:r>
      <w:r w:rsidRPr="000540F8">
        <w:rPr>
          <w:rFonts w:ascii="Times New Roman" w:hAnsi="Times New Roman"/>
          <w:spacing w:val="-2"/>
          <w:sz w:val="16"/>
          <w:szCs w:val="16"/>
        </w:rPr>
        <w:t xml:space="preserve"> zu beachten</w:t>
      </w:r>
      <w:r w:rsidR="006019D7">
        <w:rPr>
          <w:rFonts w:ascii="Times New Roman" w:hAnsi="Times New Roman"/>
          <w:spacing w:val="-2"/>
          <w:sz w:val="16"/>
          <w:szCs w:val="16"/>
        </w:rPr>
        <w:t>.</w:t>
      </w:r>
      <w:r w:rsidRPr="000540F8">
        <w:rPr>
          <w:rFonts w:ascii="Times New Roman" w:hAnsi="Times New Roman"/>
          <w:spacing w:val="-2"/>
          <w:sz w:val="16"/>
          <w:szCs w:val="16"/>
        </w:rPr>
        <w:t xml:space="preserve"> Der Beschuldigte ist nicht verpflichtet, aktiv an seiner Überführung mitzuwirken. Er muss sich daher auch nicht (durch seine Aussage) selbst belasten. Vielmehr steht es ihm frei zu lügen oder gar nicht auszusagen. Er darf ferner nicht zu einer Aussage gezwungen oder durch eine Täuschung dazu verleitet werden. Dieses Prinzip findet seinen Ausdruck </w:t>
      </w:r>
      <w:r w:rsidR="00781D7B">
        <w:rPr>
          <w:rFonts w:ascii="Times New Roman" w:hAnsi="Times New Roman"/>
          <w:spacing w:val="-2"/>
          <w:sz w:val="16"/>
          <w:szCs w:val="16"/>
        </w:rPr>
        <w:t>insb.</w:t>
      </w:r>
      <w:r w:rsidR="00781D7B" w:rsidRPr="000540F8">
        <w:rPr>
          <w:rFonts w:ascii="Times New Roman" w:hAnsi="Times New Roman"/>
          <w:spacing w:val="-2"/>
          <w:sz w:val="16"/>
          <w:szCs w:val="16"/>
        </w:rPr>
        <w:t xml:space="preserve"> </w:t>
      </w:r>
      <w:r w:rsidRPr="000540F8">
        <w:rPr>
          <w:rFonts w:ascii="Times New Roman" w:hAnsi="Times New Roman"/>
          <w:spacing w:val="-2"/>
          <w:sz w:val="16"/>
          <w:szCs w:val="16"/>
        </w:rPr>
        <w:t xml:space="preserve">in den in </w:t>
      </w:r>
      <w:r w:rsidRPr="000540F8">
        <w:rPr>
          <w:rFonts w:ascii="Times New Roman" w:hAnsi="Times New Roman"/>
          <w:b/>
          <w:spacing w:val="-2"/>
          <w:sz w:val="16"/>
          <w:szCs w:val="16"/>
        </w:rPr>
        <w:t>§ 136a StPO</w:t>
      </w:r>
      <w:r w:rsidRPr="000540F8">
        <w:rPr>
          <w:rFonts w:ascii="Times New Roman" w:hAnsi="Times New Roman"/>
          <w:spacing w:val="-2"/>
          <w:sz w:val="16"/>
          <w:szCs w:val="16"/>
        </w:rPr>
        <w:t xml:space="preserve"> geregelten verbotenen Vernehmungsmethoden (vgl. dazu Arbeitsblatt Nr.</w:t>
      </w:r>
      <w:r w:rsidR="00781D7B">
        <w:rPr>
          <w:rFonts w:ascii="Times New Roman" w:hAnsi="Times New Roman"/>
          <w:spacing w:val="-2"/>
          <w:sz w:val="16"/>
          <w:szCs w:val="16"/>
        </w:rPr>
        <w:t> </w:t>
      </w:r>
      <w:r w:rsidRPr="000540F8">
        <w:rPr>
          <w:rFonts w:ascii="Times New Roman" w:hAnsi="Times New Roman"/>
          <w:spacing w:val="-2"/>
          <w:sz w:val="16"/>
          <w:szCs w:val="16"/>
        </w:rPr>
        <w:t xml:space="preserve">24). Über das Recht zu schweigen ist der Beschuldigte zu belehren, </w:t>
      </w:r>
      <w:r w:rsidRPr="000540F8">
        <w:rPr>
          <w:rFonts w:ascii="Times New Roman" w:hAnsi="Times New Roman"/>
          <w:b/>
          <w:spacing w:val="-2"/>
          <w:sz w:val="16"/>
          <w:szCs w:val="16"/>
        </w:rPr>
        <w:t>§ 136 I 2 StPO</w:t>
      </w:r>
      <w:r w:rsidRPr="000540F8">
        <w:rPr>
          <w:rFonts w:ascii="Times New Roman" w:hAnsi="Times New Roman"/>
          <w:spacing w:val="-2"/>
          <w:sz w:val="16"/>
          <w:szCs w:val="16"/>
        </w:rPr>
        <w:t xml:space="preserve">. Schließlich darf der Beschuldigte sich zu jeder Zeit des Verfahrens eines Verteidigers bedienen, </w:t>
      </w:r>
      <w:r w:rsidRPr="000540F8">
        <w:rPr>
          <w:rFonts w:ascii="Times New Roman" w:hAnsi="Times New Roman"/>
          <w:b/>
          <w:spacing w:val="-2"/>
          <w:sz w:val="16"/>
          <w:szCs w:val="16"/>
        </w:rPr>
        <w:t>§ 137 I </w:t>
      </w:r>
      <w:r w:rsidR="00781D7B">
        <w:rPr>
          <w:rFonts w:ascii="Times New Roman" w:hAnsi="Times New Roman"/>
          <w:b/>
          <w:spacing w:val="-2"/>
          <w:sz w:val="16"/>
          <w:szCs w:val="16"/>
        </w:rPr>
        <w:t xml:space="preserve">1 </w:t>
      </w:r>
      <w:r w:rsidRPr="000540F8">
        <w:rPr>
          <w:rFonts w:ascii="Times New Roman" w:hAnsi="Times New Roman"/>
          <w:b/>
          <w:spacing w:val="-2"/>
          <w:sz w:val="16"/>
          <w:szCs w:val="16"/>
        </w:rPr>
        <w:t>StPO</w:t>
      </w:r>
      <w:r w:rsidRPr="000540F8">
        <w:rPr>
          <w:rFonts w:ascii="Times New Roman" w:hAnsi="Times New Roman"/>
          <w:spacing w:val="-2"/>
          <w:sz w:val="16"/>
          <w:szCs w:val="16"/>
        </w:rPr>
        <w:t>. Auch darüber ist er zu belehren, § 136 I 2 StPO. Wird nun gegen diese Vorschriften verstoßen, welche dem Schutz des Beschuldigten dienen, und dadurch in verfahrenswidriger Weise eine Aussage des Beschuldigten erlangt, so ist fraglich, ob sich aus diesem Verfahrensfehler ein Beweisverwertungsverbot ergibt.</w:t>
      </w:r>
    </w:p>
    <w:p w14:paraId="40458FFA" w14:textId="77777777" w:rsidR="007567D4" w:rsidRPr="000540F8" w:rsidRDefault="007567D4" w:rsidP="008556DE">
      <w:pPr>
        <w:widowControl/>
        <w:tabs>
          <w:tab w:val="left" w:pos="-720"/>
          <w:tab w:val="left" w:pos="288"/>
          <w:tab w:val="left" w:pos="567"/>
          <w:tab w:val="left" w:pos="864"/>
          <w:tab w:val="left" w:pos="1116"/>
          <w:tab w:val="left" w:pos="1404"/>
          <w:tab w:val="left" w:pos="1692"/>
          <w:tab w:val="left" w:pos="1980"/>
          <w:tab w:val="left" w:pos="2268"/>
          <w:tab w:val="left" w:pos="2880"/>
        </w:tabs>
        <w:ind w:left="567" w:hanging="567"/>
        <w:jc w:val="both"/>
        <w:rPr>
          <w:rFonts w:ascii="Times New Roman" w:hAnsi="Times New Roman"/>
          <w:b/>
          <w:spacing w:val="-2"/>
          <w:sz w:val="16"/>
          <w:szCs w:val="16"/>
        </w:rPr>
      </w:pPr>
      <w:r w:rsidRPr="000540F8">
        <w:rPr>
          <w:rFonts w:ascii="Times New Roman" w:hAnsi="Times New Roman"/>
          <w:b/>
          <w:spacing w:val="-2"/>
          <w:sz w:val="16"/>
          <w:szCs w:val="16"/>
        </w:rPr>
        <w:t xml:space="preserve">II. </w:t>
      </w:r>
      <w:r w:rsidRPr="000540F8">
        <w:rPr>
          <w:rFonts w:ascii="Times New Roman" w:hAnsi="Times New Roman"/>
          <w:b/>
          <w:spacing w:val="-2"/>
          <w:sz w:val="16"/>
          <w:szCs w:val="16"/>
        </w:rPr>
        <w:tab/>
        <w:t>Beweiserhebungsverbote im Hinblick auf den Nemo-tenetur-Grundsatz:</w:t>
      </w:r>
    </w:p>
    <w:p w14:paraId="47B136EC" w14:textId="79D091DB" w:rsidR="007567D4" w:rsidRPr="000540F8" w:rsidRDefault="007567D4" w:rsidP="008556DE">
      <w:pPr>
        <w:widowControl/>
        <w:tabs>
          <w:tab w:val="left" w:pos="-720"/>
          <w:tab w:val="left" w:pos="567"/>
          <w:tab w:val="left" w:pos="864"/>
          <w:tab w:val="left" w:pos="1116"/>
          <w:tab w:val="left" w:pos="1404"/>
          <w:tab w:val="left" w:pos="1692"/>
          <w:tab w:val="left" w:pos="1980"/>
          <w:tab w:val="left" w:pos="2268"/>
          <w:tab w:val="left" w:pos="2880"/>
        </w:tabs>
        <w:ind w:left="567" w:hanging="283"/>
        <w:jc w:val="both"/>
        <w:rPr>
          <w:rFonts w:ascii="Times New Roman" w:hAnsi="Times New Roman"/>
          <w:spacing w:val="-2"/>
          <w:sz w:val="16"/>
          <w:szCs w:val="16"/>
        </w:rPr>
      </w:pPr>
      <w:r w:rsidRPr="000540F8">
        <w:rPr>
          <w:rFonts w:ascii="Times New Roman" w:hAnsi="Times New Roman"/>
          <w:spacing w:val="-2"/>
          <w:sz w:val="16"/>
          <w:szCs w:val="16"/>
          <w:u w:val="single"/>
        </w:rPr>
        <w:t xml:space="preserve">1. </w:t>
      </w:r>
      <w:r w:rsidRPr="000540F8">
        <w:rPr>
          <w:rFonts w:ascii="Times New Roman" w:hAnsi="Times New Roman"/>
          <w:spacing w:val="-2"/>
          <w:sz w:val="16"/>
          <w:szCs w:val="16"/>
          <w:u w:val="single"/>
        </w:rPr>
        <w:tab/>
        <w:t>Freiwilligkeit der Aussage:</w:t>
      </w:r>
      <w:r w:rsidRPr="000540F8">
        <w:rPr>
          <w:rFonts w:ascii="Times New Roman" w:hAnsi="Times New Roman"/>
          <w:spacing w:val="-2"/>
          <w:sz w:val="16"/>
          <w:szCs w:val="16"/>
        </w:rPr>
        <w:t xml:space="preserve"> Der Beschuldigte darf nicht durch </w:t>
      </w:r>
      <w:r w:rsidR="005A4E62">
        <w:rPr>
          <w:rFonts w:ascii="Times New Roman" w:hAnsi="Times New Roman"/>
          <w:spacing w:val="-2"/>
          <w:sz w:val="16"/>
          <w:szCs w:val="16"/>
        </w:rPr>
        <w:t>verbotene Vernehmungsmethoden</w:t>
      </w:r>
      <w:r w:rsidRPr="000540F8">
        <w:rPr>
          <w:rFonts w:ascii="Times New Roman" w:hAnsi="Times New Roman"/>
          <w:spacing w:val="-2"/>
          <w:sz w:val="16"/>
          <w:szCs w:val="16"/>
        </w:rPr>
        <w:t xml:space="preserve"> dazu gezwungen werden, eine Aussage zu tätigen (vgl. dazu Arbeitsblatt Nr. 24). Auf diese Weise gewonnene Beweise dürfen </w:t>
      </w:r>
      <w:r w:rsidRPr="000540F8">
        <w:rPr>
          <w:rFonts w:ascii="Times New Roman" w:hAnsi="Times New Roman"/>
          <w:b/>
          <w:spacing w:val="-2"/>
          <w:sz w:val="16"/>
          <w:szCs w:val="16"/>
        </w:rPr>
        <w:t>nicht</w:t>
      </w:r>
      <w:r w:rsidRPr="000540F8">
        <w:rPr>
          <w:rFonts w:ascii="Times New Roman" w:hAnsi="Times New Roman"/>
          <w:spacing w:val="-2"/>
          <w:sz w:val="16"/>
          <w:szCs w:val="16"/>
        </w:rPr>
        <w:t xml:space="preserve"> verwertet werden. Dieses </w:t>
      </w:r>
      <w:r w:rsidRPr="000540F8">
        <w:rPr>
          <w:rFonts w:ascii="Times New Roman" w:hAnsi="Times New Roman"/>
          <w:b/>
          <w:spacing w:val="-2"/>
          <w:sz w:val="16"/>
          <w:szCs w:val="16"/>
        </w:rPr>
        <w:t xml:space="preserve">Verwertungsverbot </w:t>
      </w:r>
      <w:r w:rsidRPr="000540F8">
        <w:rPr>
          <w:rFonts w:ascii="Times New Roman" w:hAnsi="Times New Roman"/>
          <w:spacing w:val="-2"/>
          <w:sz w:val="16"/>
          <w:szCs w:val="16"/>
        </w:rPr>
        <w:t>im Hinblick auf Aussagen, deren Gewinnung mit einem entsprechenden Verfahrensfehler belastet sind, ergibt sich direkt aus dem Gesetz, § 136a III 2 StPO.</w:t>
      </w:r>
    </w:p>
    <w:p w14:paraId="7494D20D" w14:textId="17C343A8" w:rsidR="007567D4" w:rsidRPr="000540F8" w:rsidRDefault="007567D4" w:rsidP="008556DE">
      <w:pPr>
        <w:widowControl/>
        <w:tabs>
          <w:tab w:val="left" w:pos="-720"/>
          <w:tab w:val="left" w:pos="567"/>
          <w:tab w:val="left" w:pos="864"/>
          <w:tab w:val="left" w:pos="1116"/>
          <w:tab w:val="left" w:pos="1404"/>
          <w:tab w:val="left" w:pos="1692"/>
          <w:tab w:val="left" w:pos="1980"/>
          <w:tab w:val="left" w:pos="2268"/>
          <w:tab w:val="left" w:pos="2880"/>
        </w:tabs>
        <w:ind w:left="567" w:hanging="283"/>
        <w:jc w:val="both"/>
        <w:rPr>
          <w:rFonts w:ascii="Times New Roman" w:hAnsi="Times New Roman"/>
          <w:spacing w:val="-2"/>
          <w:sz w:val="16"/>
          <w:szCs w:val="16"/>
        </w:rPr>
      </w:pPr>
      <w:r w:rsidRPr="000540F8">
        <w:rPr>
          <w:rFonts w:ascii="Times New Roman" w:hAnsi="Times New Roman"/>
          <w:spacing w:val="-2"/>
          <w:sz w:val="16"/>
          <w:szCs w:val="16"/>
          <w:u w:val="single"/>
        </w:rPr>
        <w:t xml:space="preserve">2. </w:t>
      </w:r>
      <w:r w:rsidRPr="000540F8">
        <w:rPr>
          <w:rFonts w:ascii="Times New Roman" w:hAnsi="Times New Roman"/>
          <w:spacing w:val="-2"/>
          <w:sz w:val="16"/>
          <w:szCs w:val="16"/>
          <w:u w:val="single"/>
        </w:rPr>
        <w:tab/>
        <w:t>Unterbliebene Beschuldigtenbelehrung</w:t>
      </w:r>
      <w:r w:rsidRPr="000540F8">
        <w:rPr>
          <w:rFonts w:ascii="Times New Roman" w:hAnsi="Times New Roman"/>
          <w:spacing w:val="-2"/>
          <w:sz w:val="16"/>
          <w:szCs w:val="16"/>
        </w:rPr>
        <w:t xml:space="preserve">: Fraglich ist, ob ein Beweisverwertungsverbot auch dann besteht, wenn der Beschuldigte vor seiner Vernehmung nicht über sein Recht zu schweigen belehrt wurde. Diese Frage ist gesetzlich nicht explizit geregelt. Unterblieb die Belehrung vorsätzlich, kann indes ein Fall der Täuschung im Sinne des § 136a StPO anzunehmen sein, sodass das </w:t>
      </w:r>
      <w:r w:rsidRPr="000540F8">
        <w:rPr>
          <w:rFonts w:ascii="Times New Roman" w:hAnsi="Times New Roman"/>
          <w:b/>
          <w:spacing w:val="-2"/>
          <w:sz w:val="16"/>
          <w:szCs w:val="16"/>
        </w:rPr>
        <w:t>Verwertungsverbot</w:t>
      </w:r>
      <w:r w:rsidRPr="000540F8">
        <w:rPr>
          <w:rFonts w:ascii="Times New Roman" w:hAnsi="Times New Roman"/>
          <w:spacing w:val="-2"/>
          <w:sz w:val="16"/>
          <w:szCs w:val="16"/>
        </w:rPr>
        <w:t xml:space="preserve"> sich bereits aus dem Gesetz erschließt. In Fällen des fahrlässigen Unterbleibens der Belehrung findet sich </w:t>
      </w:r>
      <w:r w:rsidR="00BD63BA">
        <w:rPr>
          <w:rFonts w:ascii="Times New Roman" w:hAnsi="Times New Roman"/>
          <w:spacing w:val="-2"/>
          <w:sz w:val="16"/>
          <w:szCs w:val="16"/>
        </w:rPr>
        <w:t>hingegen</w:t>
      </w:r>
      <w:r w:rsidR="00BD63BA" w:rsidRPr="000540F8">
        <w:rPr>
          <w:rFonts w:ascii="Times New Roman" w:hAnsi="Times New Roman"/>
          <w:spacing w:val="-2"/>
          <w:sz w:val="16"/>
          <w:szCs w:val="16"/>
        </w:rPr>
        <w:t xml:space="preserve"> </w:t>
      </w:r>
      <w:r w:rsidRPr="000540F8">
        <w:rPr>
          <w:rFonts w:ascii="Times New Roman" w:hAnsi="Times New Roman"/>
          <w:spacing w:val="-2"/>
          <w:sz w:val="16"/>
          <w:szCs w:val="16"/>
        </w:rPr>
        <w:t>keine gesetzliche Regelung. Wendet man die bereits an anderer Stelle dargestellten Theorien (vgl. dazu Arbeitsblatt</w:t>
      </w:r>
      <w:r w:rsidR="0085120B">
        <w:rPr>
          <w:rFonts w:ascii="Times New Roman" w:hAnsi="Times New Roman"/>
          <w:spacing w:val="-2"/>
          <w:sz w:val="16"/>
          <w:szCs w:val="16"/>
        </w:rPr>
        <w:t xml:space="preserve"> Nr.</w:t>
      </w:r>
      <w:r w:rsidR="00781D7B">
        <w:rPr>
          <w:rFonts w:ascii="Times New Roman" w:hAnsi="Times New Roman"/>
          <w:spacing w:val="-2"/>
          <w:sz w:val="16"/>
          <w:szCs w:val="16"/>
        </w:rPr>
        <w:t> </w:t>
      </w:r>
      <w:r w:rsidRPr="000540F8">
        <w:rPr>
          <w:rFonts w:ascii="Times New Roman" w:hAnsi="Times New Roman"/>
          <w:spacing w:val="-2"/>
          <w:sz w:val="16"/>
          <w:szCs w:val="16"/>
        </w:rPr>
        <w:t>26) an, so ist ein Beweisverwertungsverbot zu bejahen</w:t>
      </w:r>
      <w:r w:rsidR="00BD63BA">
        <w:rPr>
          <w:rFonts w:ascii="Times New Roman" w:hAnsi="Times New Roman"/>
          <w:spacing w:val="-2"/>
          <w:sz w:val="16"/>
          <w:szCs w:val="16"/>
        </w:rPr>
        <w:t>.</w:t>
      </w:r>
      <w:r w:rsidRPr="000540F8">
        <w:rPr>
          <w:rFonts w:ascii="Times New Roman" w:hAnsi="Times New Roman"/>
          <w:spacing w:val="-2"/>
          <w:sz w:val="16"/>
          <w:szCs w:val="16"/>
        </w:rPr>
        <w:t xml:space="preserve"> </w:t>
      </w:r>
      <w:r w:rsidR="00BD63BA">
        <w:rPr>
          <w:rFonts w:ascii="Times New Roman" w:hAnsi="Times New Roman"/>
          <w:spacing w:val="-2"/>
          <w:sz w:val="16"/>
          <w:szCs w:val="16"/>
        </w:rPr>
        <w:t>D</w:t>
      </w:r>
      <w:r w:rsidRPr="000540F8">
        <w:rPr>
          <w:rFonts w:ascii="Times New Roman" w:hAnsi="Times New Roman"/>
          <w:spacing w:val="-2"/>
          <w:sz w:val="16"/>
          <w:szCs w:val="16"/>
        </w:rPr>
        <w:t xml:space="preserve">enn wenn man die Grundrechte des </w:t>
      </w:r>
      <w:r w:rsidR="0085120B" w:rsidRPr="000540F8">
        <w:rPr>
          <w:rFonts w:ascii="Times New Roman" w:hAnsi="Times New Roman"/>
          <w:spacing w:val="-2"/>
          <w:sz w:val="16"/>
          <w:szCs w:val="16"/>
        </w:rPr>
        <w:t>Be</w:t>
      </w:r>
      <w:r w:rsidR="0085120B">
        <w:rPr>
          <w:rFonts w:ascii="Times New Roman" w:hAnsi="Times New Roman"/>
          <w:spacing w:val="-2"/>
          <w:sz w:val="16"/>
          <w:szCs w:val="16"/>
        </w:rPr>
        <w:t>schuldigten</w:t>
      </w:r>
      <w:r w:rsidR="0085120B" w:rsidRPr="000540F8">
        <w:rPr>
          <w:rFonts w:ascii="Times New Roman" w:hAnsi="Times New Roman"/>
          <w:spacing w:val="-2"/>
          <w:sz w:val="16"/>
          <w:szCs w:val="16"/>
        </w:rPr>
        <w:t xml:space="preserve"> </w:t>
      </w:r>
      <w:r w:rsidRPr="000540F8">
        <w:rPr>
          <w:rFonts w:ascii="Times New Roman" w:hAnsi="Times New Roman"/>
          <w:spacing w:val="-2"/>
          <w:sz w:val="16"/>
          <w:szCs w:val="16"/>
        </w:rPr>
        <w:t xml:space="preserve">und das staatliche Interesse an der Strafverfolgung </w:t>
      </w:r>
      <w:r w:rsidR="00992717" w:rsidRPr="000540F8">
        <w:rPr>
          <w:rFonts w:ascii="Times New Roman" w:hAnsi="Times New Roman"/>
          <w:spacing w:val="-2"/>
          <w:sz w:val="16"/>
          <w:szCs w:val="16"/>
        </w:rPr>
        <w:t xml:space="preserve">im Rahmen einer </w:t>
      </w:r>
      <w:r w:rsidR="00992717" w:rsidRPr="000540F8">
        <w:rPr>
          <w:rFonts w:ascii="Times New Roman" w:hAnsi="Times New Roman"/>
          <w:b/>
          <w:spacing w:val="-2"/>
          <w:sz w:val="16"/>
          <w:szCs w:val="16"/>
        </w:rPr>
        <w:t>Abwägung</w:t>
      </w:r>
      <w:r w:rsidR="00992717" w:rsidRPr="000540F8">
        <w:rPr>
          <w:rFonts w:ascii="Times New Roman" w:hAnsi="Times New Roman"/>
          <w:spacing w:val="-2"/>
          <w:sz w:val="16"/>
          <w:szCs w:val="16"/>
        </w:rPr>
        <w:t xml:space="preserve"> </w:t>
      </w:r>
      <w:r w:rsidRPr="000540F8">
        <w:rPr>
          <w:rFonts w:ascii="Times New Roman" w:hAnsi="Times New Roman"/>
          <w:spacing w:val="-2"/>
          <w:sz w:val="16"/>
          <w:szCs w:val="16"/>
        </w:rPr>
        <w:t xml:space="preserve">gegenüberstellt, so überwiegen die Rechte des </w:t>
      </w:r>
      <w:r w:rsidR="0085120B">
        <w:rPr>
          <w:rFonts w:ascii="Times New Roman" w:hAnsi="Times New Roman"/>
          <w:spacing w:val="-2"/>
          <w:sz w:val="16"/>
          <w:szCs w:val="16"/>
        </w:rPr>
        <w:t>Beschuldigten</w:t>
      </w:r>
      <w:r w:rsidRPr="000540F8">
        <w:rPr>
          <w:rFonts w:ascii="Times New Roman" w:hAnsi="Times New Roman"/>
          <w:spacing w:val="-2"/>
          <w:sz w:val="16"/>
          <w:szCs w:val="16"/>
        </w:rPr>
        <w:t>, d</w:t>
      </w:r>
      <w:r w:rsidR="005A4E62">
        <w:rPr>
          <w:rFonts w:ascii="Times New Roman" w:hAnsi="Times New Roman"/>
          <w:spacing w:val="-2"/>
          <w:sz w:val="16"/>
          <w:szCs w:val="16"/>
        </w:rPr>
        <w:t>a</w:t>
      </w:r>
      <w:r w:rsidRPr="000540F8">
        <w:rPr>
          <w:rFonts w:ascii="Times New Roman" w:hAnsi="Times New Roman"/>
          <w:spacing w:val="-2"/>
          <w:sz w:val="16"/>
          <w:szCs w:val="16"/>
        </w:rPr>
        <w:t xml:space="preserve"> diese </w:t>
      </w:r>
      <w:r w:rsidR="00BD63BA">
        <w:rPr>
          <w:rFonts w:ascii="Times New Roman" w:hAnsi="Times New Roman"/>
          <w:spacing w:val="-2"/>
          <w:sz w:val="16"/>
          <w:szCs w:val="16"/>
        </w:rPr>
        <w:t>im Hinblick auf den Verfassungsrang des Nemo-tenetur-Grundsatzes</w:t>
      </w:r>
      <w:r w:rsidRPr="000540F8">
        <w:rPr>
          <w:rFonts w:ascii="Times New Roman" w:hAnsi="Times New Roman"/>
          <w:spacing w:val="-2"/>
          <w:sz w:val="16"/>
          <w:szCs w:val="16"/>
        </w:rPr>
        <w:t xml:space="preserve"> als besonders gewichtig zu bewerten</w:t>
      </w:r>
      <w:r w:rsidR="005A4E62">
        <w:rPr>
          <w:rFonts w:ascii="Times New Roman" w:hAnsi="Times New Roman"/>
          <w:spacing w:val="-2"/>
          <w:sz w:val="16"/>
          <w:szCs w:val="16"/>
        </w:rPr>
        <w:t xml:space="preserve"> sind</w:t>
      </w:r>
      <w:r w:rsidR="00BD63BA">
        <w:rPr>
          <w:rFonts w:ascii="Times New Roman" w:hAnsi="Times New Roman"/>
          <w:spacing w:val="-2"/>
          <w:sz w:val="16"/>
          <w:szCs w:val="16"/>
        </w:rPr>
        <w:t>.</w:t>
      </w:r>
      <w:r w:rsidRPr="000540F8">
        <w:rPr>
          <w:rFonts w:ascii="Times New Roman" w:hAnsi="Times New Roman"/>
          <w:spacing w:val="-2"/>
          <w:sz w:val="16"/>
          <w:szCs w:val="16"/>
        </w:rPr>
        <w:t xml:space="preserve"> Das Aussageverweigerungsrecht gehört zum Kernbereich dieses Grundsatzes. Er kommt in § 136</w:t>
      </w:r>
      <w:r w:rsidR="00BD63BA">
        <w:rPr>
          <w:rFonts w:ascii="Times New Roman" w:hAnsi="Times New Roman"/>
          <w:spacing w:val="-2"/>
          <w:sz w:val="16"/>
          <w:szCs w:val="16"/>
        </w:rPr>
        <w:t xml:space="preserve"> I 2</w:t>
      </w:r>
      <w:r w:rsidRPr="000540F8">
        <w:rPr>
          <w:rFonts w:ascii="Times New Roman" w:hAnsi="Times New Roman"/>
          <w:spacing w:val="-2"/>
          <w:sz w:val="16"/>
          <w:szCs w:val="16"/>
        </w:rPr>
        <w:t xml:space="preserve"> StPO zum Ausdruck, aber auch darin, dass gemäß § 243</w:t>
      </w:r>
      <w:r w:rsidR="00992717" w:rsidRPr="000540F8">
        <w:rPr>
          <w:rFonts w:ascii="Times New Roman" w:hAnsi="Times New Roman"/>
          <w:spacing w:val="-2"/>
          <w:sz w:val="16"/>
          <w:szCs w:val="16"/>
        </w:rPr>
        <w:t xml:space="preserve"> V 1</w:t>
      </w:r>
      <w:r w:rsidRPr="000540F8">
        <w:rPr>
          <w:rFonts w:ascii="Times New Roman" w:hAnsi="Times New Roman"/>
          <w:spacing w:val="-2"/>
          <w:sz w:val="16"/>
          <w:szCs w:val="16"/>
        </w:rPr>
        <w:t xml:space="preserve"> StPO auch in der Hauptverhandlung nochmals über das Recht zu schweigen belehrt werden muss. Auch der Schutzzweck der Norm gebietet eine Unverwertbarkeit einer entsprechenden Aussage. Schließlich berührt die unterbliebene Belehrung den Rechtskreis des Beschuldigten. </w:t>
      </w:r>
      <w:r w:rsidRPr="000540F8">
        <w:rPr>
          <w:rFonts w:ascii="Times New Roman" w:hAnsi="Times New Roman"/>
          <w:b/>
          <w:spacing w:val="-2"/>
          <w:sz w:val="16"/>
          <w:szCs w:val="16"/>
        </w:rPr>
        <w:t>Ausnahmsweise</w:t>
      </w:r>
      <w:r w:rsidRPr="000540F8">
        <w:rPr>
          <w:rFonts w:ascii="Times New Roman" w:hAnsi="Times New Roman"/>
          <w:spacing w:val="-2"/>
          <w:sz w:val="16"/>
          <w:szCs w:val="16"/>
        </w:rPr>
        <w:t xml:space="preserve"> soll nach der </w:t>
      </w:r>
      <w:proofErr w:type="spellStart"/>
      <w:r w:rsidR="00781D7B">
        <w:rPr>
          <w:rFonts w:ascii="Times New Roman" w:hAnsi="Times New Roman"/>
          <w:spacing w:val="-2"/>
          <w:sz w:val="16"/>
          <w:szCs w:val="16"/>
        </w:rPr>
        <w:t>Rspr</w:t>
      </w:r>
      <w:proofErr w:type="spellEnd"/>
      <w:r w:rsidR="00781D7B">
        <w:rPr>
          <w:rFonts w:ascii="Times New Roman" w:hAnsi="Times New Roman"/>
          <w:spacing w:val="-2"/>
          <w:sz w:val="16"/>
          <w:szCs w:val="16"/>
        </w:rPr>
        <w:t>.</w:t>
      </w:r>
      <w:r w:rsidR="00781D7B" w:rsidRPr="000540F8">
        <w:rPr>
          <w:rFonts w:ascii="Times New Roman" w:hAnsi="Times New Roman"/>
          <w:spacing w:val="-2"/>
          <w:sz w:val="16"/>
          <w:szCs w:val="16"/>
        </w:rPr>
        <w:t xml:space="preserve"> </w:t>
      </w:r>
      <w:r w:rsidRPr="000540F8">
        <w:rPr>
          <w:rFonts w:ascii="Times New Roman" w:hAnsi="Times New Roman"/>
          <w:spacing w:val="-2"/>
          <w:sz w:val="16"/>
          <w:szCs w:val="16"/>
        </w:rPr>
        <w:t xml:space="preserve">des BGH aber </w:t>
      </w:r>
      <w:r w:rsidR="00EF6DA3">
        <w:rPr>
          <w:rFonts w:ascii="Times New Roman" w:hAnsi="Times New Roman"/>
          <w:spacing w:val="-2"/>
          <w:sz w:val="16"/>
          <w:szCs w:val="16"/>
        </w:rPr>
        <w:t xml:space="preserve">ein </w:t>
      </w:r>
      <w:r w:rsidRPr="000540F8">
        <w:rPr>
          <w:rFonts w:ascii="Times New Roman" w:hAnsi="Times New Roman"/>
          <w:spacing w:val="-2"/>
          <w:sz w:val="16"/>
          <w:szCs w:val="16"/>
        </w:rPr>
        <w:t xml:space="preserve">Verwertungsverbot </w:t>
      </w:r>
      <w:r w:rsidR="00EF6DA3">
        <w:rPr>
          <w:rFonts w:ascii="Times New Roman" w:hAnsi="Times New Roman"/>
          <w:spacing w:val="-2"/>
          <w:sz w:val="16"/>
          <w:szCs w:val="16"/>
        </w:rPr>
        <w:t>nicht geltend gemacht werden können</w:t>
      </w:r>
      <w:r w:rsidRPr="000540F8">
        <w:rPr>
          <w:rFonts w:ascii="Times New Roman" w:hAnsi="Times New Roman"/>
          <w:spacing w:val="-2"/>
          <w:sz w:val="16"/>
          <w:szCs w:val="16"/>
        </w:rPr>
        <w:t xml:space="preserve">, wenn dem Beschuldigten sein Recht zu schweigen </w:t>
      </w:r>
      <w:r w:rsidRPr="000540F8">
        <w:rPr>
          <w:rFonts w:ascii="Times New Roman" w:hAnsi="Times New Roman"/>
          <w:b/>
          <w:spacing w:val="-2"/>
          <w:sz w:val="16"/>
          <w:szCs w:val="16"/>
        </w:rPr>
        <w:t>bekannt</w:t>
      </w:r>
      <w:r w:rsidRPr="000540F8">
        <w:rPr>
          <w:rFonts w:ascii="Times New Roman" w:hAnsi="Times New Roman"/>
          <w:spacing w:val="-2"/>
          <w:sz w:val="16"/>
          <w:szCs w:val="16"/>
        </w:rPr>
        <w:t xml:space="preserve"> ist oder der Verteidiger des Beschuldigten zustimmt bzw. ihr bis zum Abschluss der Vernehmung </w:t>
      </w:r>
      <w:r w:rsidR="0085120B">
        <w:rPr>
          <w:rFonts w:ascii="Times New Roman" w:hAnsi="Times New Roman"/>
          <w:spacing w:val="-2"/>
          <w:sz w:val="16"/>
          <w:szCs w:val="16"/>
        </w:rPr>
        <w:t>(vgl. §</w:t>
      </w:r>
      <w:r w:rsidR="00813AB8">
        <w:rPr>
          <w:rFonts w:ascii="Times New Roman" w:hAnsi="Times New Roman"/>
          <w:spacing w:val="-2"/>
          <w:sz w:val="16"/>
          <w:szCs w:val="16"/>
        </w:rPr>
        <w:t> </w:t>
      </w:r>
      <w:r w:rsidR="0085120B">
        <w:rPr>
          <w:rFonts w:ascii="Times New Roman" w:hAnsi="Times New Roman"/>
          <w:spacing w:val="-2"/>
          <w:sz w:val="16"/>
          <w:szCs w:val="16"/>
        </w:rPr>
        <w:t xml:space="preserve">257 StPO) </w:t>
      </w:r>
      <w:r w:rsidRPr="000540F8">
        <w:rPr>
          <w:rFonts w:ascii="Times New Roman" w:hAnsi="Times New Roman"/>
          <w:b/>
          <w:spacing w:val="-2"/>
          <w:sz w:val="16"/>
          <w:szCs w:val="16"/>
        </w:rPr>
        <w:t>nicht widerspricht (=</w:t>
      </w:r>
      <w:r w:rsidR="00E94579">
        <w:rPr>
          <w:rFonts w:ascii="Times New Roman" w:hAnsi="Times New Roman"/>
          <w:b/>
          <w:spacing w:val="-2"/>
          <w:sz w:val="16"/>
          <w:szCs w:val="16"/>
        </w:rPr>
        <w:t xml:space="preserve"> </w:t>
      </w:r>
      <w:r w:rsidRPr="000540F8">
        <w:rPr>
          <w:rFonts w:ascii="Times New Roman" w:hAnsi="Times New Roman"/>
          <w:b/>
          <w:spacing w:val="-2"/>
          <w:sz w:val="16"/>
          <w:szCs w:val="16"/>
        </w:rPr>
        <w:t>Widerspruchslösung)</w:t>
      </w:r>
      <w:r w:rsidRPr="000540F8">
        <w:rPr>
          <w:rFonts w:ascii="Times New Roman" w:hAnsi="Times New Roman"/>
          <w:spacing w:val="-2"/>
          <w:sz w:val="16"/>
          <w:szCs w:val="16"/>
        </w:rPr>
        <w:t>.</w:t>
      </w:r>
    </w:p>
    <w:p w14:paraId="0C4B2028" w14:textId="3AB4B200" w:rsidR="007567D4" w:rsidRPr="000540F8" w:rsidRDefault="007567D4" w:rsidP="008556DE">
      <w:pPr>
        <w:widowControl/>
        <w:tabs>
          <w:tab w:val="left" w:pos="-720"/>
          <w:tab w:val="left" w:pos="567"/>
          <w:tab w:val="left" w:pos="864"/>
          <w:tab w:val="left" w:pos="1116"/>
          <w:tab w:val="left" w:pos="1404"/>
          <w:tab w:val="left" w:pos="1692"/>
          <w:tab w:val="left" w:pos="1980"/>
          <w:tab w:val="left" w:pos="2268"/>
          <w:tab w:val="left" w:pos="2880"/>
        </w:tabs>
        <w:ind w:left="567" w:hanging="283"/>
        <w:jc w:val="both"/>
        <w:rPr>
          <w:rFonts w:ascii="Times New Roman" w:hAnsi="Times New Roman"/>
          <w:spacing w:val="-2"/>
          <w:sz w:val="16"/>
          <w:szCs w:val="16"/>
        </w:rPr>
      </w:pPr>
      <w:r w:rsidRPr="000540F8">
        <w:rPr>
          <w:rFonts w:ascii="Times New Roman" w:hAnsi="Times New Roman"/>
          <w:spacing w:val="-2"/>
          <w:sz w:val="16"/>
          <w:szCs w:val="16"/>
          <w:u w:val="single"/>
        </w:rPr>
        <w:t xml:space="preserve">3. </w:t>
      </w:r>
      <w:r w:rsidRPr="000540F8">
        <w:rPr>
          <w:rFonts w:ascii="Times New Roman" w:hAnsi="Times New Roman"/>
          <w:spacing w:val="-2"/>
          <w:sz w:val="16"/>
          <w:szCs w:val="16"/>
          <w:u w:val="single"/>
        </w:rPr>
        <w:tab/>
        <w:t>Unterbliebene Verteidigerbestellung</w:t>
      </w:r>
      <w:r w:rsidRPr="000540F8">
        <w:rPr>
          <w:rFonts w:ascii="Times New Roman" w:hAnsi="Times New Roman"/>
          <w:spacing w:val="-2"/>
          <w:sz w:val="16"/>
          <w:szCs w:val="16"/>
        </w:rPr>
        <w:t>: Der Beschuldigte hat das Recht</w:t>
      </w:r>
      <w:r w:rsidR="0032271D">
        <w:rPr>
          <w:rFonts w:ascii="Times New Roman" w:hAnsi="Times New Roman"/>
          <w:spacing w:val="-2"/>
          <w:sz w:val="16"/>
          <w:szCs w:val="16"/>
        </w:rPr>
        <w:t>,</w:t>
      </w:r>
      <w:r w:rsidRPr="000540F8">
        <w:rPr>
          <w:rFonts w:ascii="Times New Roman" w:hAnsi="Times New Roman"/>
          <w:spacing w:val="-2"/>
          <w:sz w:val="16"/>
          <w:szCs w:val="16"/>
        </w:rPr>
        <w:t xml:space="preserve"> zu jeder Zeit des Verfahrens einen Verteidiger hinzuzuziehen. Über dieses Recht ist er gemäß § 136 I 2 StPO zu </w:t>
      </w:r>
      <w:r w:rsidRPr="000540F8">
        <w:rPr>
          <w:rFonts w:ascii="Times New Roman" w:hAnsi="Times New Roman"/>
          <w:b/>
          <w:spacing w:val="-2"/>
          <w:sz w:val="16"/>
          <w:szCs w:val="16"/>
        </w:rPr>
        <w:t>belehren</w:t>
      </w:r>
      <w:r w:rsidRPr="000540F8">
        <w:rPr>
          <w:rFonts w:ascii="Times New Roman" w:hAnsi="Times New Roman"/>
          <w:spacing w:val="-2"/>
          <w:sz w:val="16"/>
          <w:szCs w:val="16"/>
        </w:rPr>
        <w:t xml:space="preserve">. Unterbleibt eine solche Belehrung, so ist die weitere Beweiserhebung rechtswidrig. Die </w:t>
      </w:r>
      <w:proofErr w:type="spellStart"/>
      <w:r w:rsidRPr="000540F8">
        <w:rPr>
          <w:rFonts w:ascii="Times New Roman" w:hAnsi="Times New Roman"/>
          <w:spacing w:val="-2"/>
          <w:sz w:val="16"/>
          <w:szCs w:val="16"/>
        </w:rPr>
        <w:t>h.M</w:t>
      </w:r>
      <w:proofErr w:type="spellEnd"/>
      <w:r w:rsidRPr="000540F8">
        <w:rPr>
          <w:rFonts w:ascii="Times New Roman" w:hAnsi="Times New Roman"/>
          <w:spacing w:val="-2"/>
          <w:sz w:val="16"/>
          <w:szCs w:val="16"/>
        </w:rPr>
        <w:t xml:space="preserve">. nimmt auch hier ein </w:t>
      </w:r>
      <w:r w:rsidRPr="000540F8">
        <w:rPr>
          <w:rFonts w:ascii="Times New Roman" w:hAnsi="Times New Roman"/>
          <w:b/>
          <w:spacing w:val="-2"/>
          <w:sz w:val="16"/>
          <w:szCs w:val="16"/>
        </w:rPr>
        <w:t xml:space="preserve">Verwertungsverbot </w:t>
      </w:r>
      <w:r w:rsidRPr="000540F8">
        <w:rPr>
          <w:rFonts w:ascii="Times New Roman" w:hAnsi="Times New Roman"/>
          <w:spacing w:val="-2"/>
          <w:sz w:val="16"/>
          <w:szCs w:val="16"/>
        </w:rPr>
        <w:t xml:space="preserve">hinsichtlich einer so erlangten Aussage an. Das Gleiche gilt, wenn dem Beschuldigten trotz seines Wunsches eine Verteidigerbestellung </w:t>
      </w:r>
      <w:r w:rsidRPr="000540F8">
        <w:rPr>
          <w:rFonts w:ascii="Times New Roman" w:hAnsi="Times New Roman"/>
          <w:b/>
          <w:spacing w:val="-2"/>
          <w:sz w:val="16"/>
          <w:szCs w:val="16"/>
        </w:rPr>
        <w:t>verwehrt</w:t>
      </w:r>
      <w:r w:rsidRPr="000540F8">
        <w:rPr>
          <w:rFonts w:ascii="Times New Roman" w:hAnsi="Times New Roman"/>
          <w:spacing w:val="-2"/>
          <w:sz w:val="16"/>
          <w:szCs w:val="16"/>
        </w:rPr>
        <w:t xml:space="preserve"> wird. Fraglich ist aber, wie weit die Bemühungen der Vernehmungspersonen bei der Unterstützung der Verteidigersuche gehen müssen. Jedenfalls darf die Suche nicht behindert oder erschwert werden. Nach Auffassung der </w:t>
      </w:r>
      <w:proofErr w:type="spellStart"/>
      <w:r w:rsidR="00781D7B">
        <w:rPr>
          <w:rFonts w:ascii="Times New Roman" w:hAnsi="Times New Roman"/>
          <w:spacing w:val="-2"/>
          <w:sz w:val="16"/>
          <w:szCs w:val="16"/>
        </w:rPr>
        <w:t>Rspr</w:t>
      </w:r>
      <w:proofErr w:type="spellEnd"/>
      <w:r w:rsidR="00781D7B">
        <w:rPr>
          <w:rFonts w:ascii="Times New Roman" w:hAnsi="Times New Roman"/>
          <w:spacing w:val="-2"/>
          <w:sz w:val="16"/>
          <w:szCs w:val="16"/>
        </w:rPr>
        <w:t>.</w:t>
      </w:r>
      <w:r w:rsidR="00781D7B" w:rsidRPr="000540F8">
        <w:rPr>
          <w:rFonts w:ascii="Times New Roman" w:hAnsi="Times New Roman"/>
          <w:spacing w:val="-2"/>
          <w:sz w:val="16"/>
          <w:szCs w:val="16"/>
        </w:rPr>
        <w:t xml:space="preserve"> </w:t>
      </w:r>
      <w:proofErr w:type="gramStart"/>
      <w:r w:rsidRPr="000540F8">
        <w:rPr>
          <w:rFonts w:ascii="Times New Roman" w:hAnsi="Times New Roman"/>
          <w:spacing w:val="-2"/>
          <w:sz w:val="16"/>
          <w:szCs w:val="16"/>
        </w:rPr>
        <w:t>muss</w:t>
      </w:r>
      <w:proofErr w:type="gramEnd"/>
      <w:r w:rsidRPr="000540F8">
        <w:rPr>
          <w:rFonts w:ascii="Times New Roman" w:hAnsi="Times New Roman"/>
          <w:spacing w:val="-2"/>
          <w:sz w:val="16"/>
          <w:szCs w:val="16"/>
        </w:rPr>
        <w:t xml:space="preserve"> die Polizei außerdem </w:t>
      </w:r>
      <w:r w:rsidRPr="000540F8">
        <w:rPr>
          <w:rFonts w:ascii="Times New Roman" w:hAnsi="Times New Roman"/>
          <w:b/>
          <w:spacing w:val="-2"/>
          <w:sz w:val="16"/>
          <w:szCs w:val="16"/>
        </w:rPr>
        <w:t>ernsthafte Bemühungen</w:t>
      </w:r>
      <w:r w:rsidRPr="000540F8">
        <w:rPr>
          <w:rFonts w:ascii="Times New Roman" w:hAnsi="Times New Roman"/>
          <w:spacing w:val="-2"/>
          <w:sz w:val="16"/>
          <w:szCs w:val="16"/>
        </w:rPr>
        <w:t xml:space="preserve"> an den Tag legen. Die bloße Überlassung eines </w:t>
      </w:r>
      <w:r w:rsidRPr="000540F8">
        <w:rPr>
          <w:rFonts w:ascii="Times New Roman" w:hAnsi="Times New Roman"/>
          <w:b/>
          <w:spacing w:val="-2"/>
          <w:sz w:val="16"/>
          <w:szCs w:val="16"/>
        </w:rPr>
        <w:t xml:space="preserve">Branchentelefonbuchs </w:t>
      </w:r>
      <w:r w:rsidRPr="000540F8">
        <w:rPr>
          <w:rFonts w:ascii="Times New Roman" w:hAnsi="Times New Roman"/>
          <w:spacing w:val="-2"/>
          <w:sz w:val="16"/>
          <w:szCs w:val="16"/>
        </w:rPr>
        <w:t>ohne Hinweis auf eine anwaltliche Notruf-Hotline zu</w:t>
      </w:r>
      <w:r w:rsidR="000370B2" w:rsidRPr="000540F8">
        <w:rPr>
          <w:rFonts w:ascii="Times New Roman" w:hAnsi="Times New Roman"/>
          <w:spacing w:val="-2"/>
          <w:sz w:val="16"/>
          <w:szCs w:val="16"/>
        </w:rPr>
        <w:t>r</w:t>
      </w:r>
      <w:r w:rsidRPr="000540F8">
        <w:rPr>
          <w:rFonts w:ascii="Times New Roman" w:hAnsi="Times New Roman"/>
          <w:spacing w:val="-2"/>
          <w:sz w:val="16"/>
          <w:szCs w:val="16"/>
        </w:rPr>
        <w:t xml:space="preserve"> Nachtstunde ist nicht ausreichend. Bei Verstoß gegen diese Grundsätze liegt ein Verfahrensfehler vor. </w:t>
      </w:r>
      <w:r w:rsidR="001C20D3">
        <w:rPr>
          <w:rFonts w:ascii="Times New Roman" w:hAnsi="Times New Roman"/>
          <w:spacing w:val="-2"/>
          <w:sz w:val="16"/>
          <w:szCs w:val="16"/>
        </w:rPr>
        <w:t>A</w:t>
      </w:r>
      <w:r w:rsidRPr="000540F8">
        <w:rPr>
          <w:rFonts w:ascii="Times New Roman" w:hAnsi="Times New Roman"/>
          <w:spacing w:val="-2"/>
          <w:sz w:val="16"/>
          <w:szCs w:val="16"/>
        </w:rPr>
        <w:t xml:space="preserve">us den genannten Erwägungen heraus </w:t>
      </w:r>
      <w:r w:rsidR="001C20D3">
        <w:rPr>
          <w:rFonts w:ascii="Times New Roman" w:hAnsi="Times New Roman"/>
          <w:spacing w:val="-2"/>
          <w:sz w:val="16"/>
          <w:szCs w:val="16"/>
        </w:rPr>
        <w:t xml:space="preserve">ergibt sich </w:t>
      </w:r>
      <w:r w:rsidRPr="000540F8">
        <w:rPr>
          <w:rFonts w:ascii="Times New Roman" w:hAnsi="Times New Roman"/>
          <w:spacing w:val="-2"/>
          <w:sz w:val="16"/>
          <w:szCs w:val="16"/>
        </w:rPr>
        <w:t xml:space="preserve">wiederum ein </w:t>
      </w:r>
      <w:r w:rsidRPr="000540F8">
        <w:rPr>
          <w:rFonts w:ascii="Times New Roman" w:hAnsi="Times New Roman"/>
          <w:b/>
          <w:spacing w:val="-2"/>
          <w:sz w:val="16"/>
          <w:szCs w:val="16"/>
        </w:rPr>
        <w:t>Verwertungsverbot</w:t>
      </w:r>
      <w:r w:rsidRPr="000540F8">
        <w:rPr>
          <w:rFonts w:ascii="Times New Roman" w:hAnsi="Times New Roman"/>
          <w:spacing w:val="-2"/>
          <w:sz w:val="16"/>
          <w:szCs w:val="16"/>
        </w:rPr>
        <w:t xml:space="preserve"> einer unter diesen Umständen getätigten Aussage. Das Recht, einen Verteidiger zu konsultieren, gehört zu den wichtigsten Rechten des Beschuldigten</w:t>
      </w:r>
      <w:r w:rsidR="00184238">
        <w:rPr>
          <w:rFonts w:ascii="Times New Roman" w:hAnsi="Times New Roman"/>
          <w:spacing w:val="-2"/>
          <w:sz w:val="16"/>
          <w:szCs w:val="16"/>
        </w:rPr>
        <w:t>, sodass eine Abwägung der Interessen zu seinen Gunsten ausfällt.</w:t>
      </w:r>
    </w:p>
    <w:p w14:paraId="391D5382" w14:textId="77777777" w:rsidR="007567D4" w:rsidRPr="000540F8" w:rsidRDefault="007567D4" w:rsidP="008556DE">
      <w:pPr>
        <w:widowControl/>
        <w:tabs>
          <w:tab w:val="left" w:pos="-720"/>
          <w:tab w:val="left" w:pos="567"/>
          <w:tab w:val="left" w:pos="864"/>
          <w:tab w:val="left" w:pos="1116"/>
          <w:tab w:val="left" w:pos="1404"/>
          <w:tab w:val="left" w:pos="1692"/>
          <w:tab w:val="left" w:pos="1980"/>
          <w:tab w:val="left" w:pos="2268"/>
          <w:tab w:val="left" w:pos="2880"/>
        </w:tabs>
        <w:ind w:left="284" w:hanging="284"/>
        <w:jc w:val="both"/>
        <w:rPr>
          <w:rFonts w:ascii="Times New Roman" w:hAnsi="Times New Roman"/>
          <w:spacing w:val="-2"/>
          <w:sz w:val="16"/>
          <w:szCs w:val="16"/>
        </w:rPr>
      </w:pPr>
      <w:r w:rsidRPr="000540F8">
        <w:rPr>
          <w:rFonts w:ascii="Times New Roman" w:hAnsi="Times New Roman"/>
          <w:b/>
          <w:spacing w:val="-2"/>
          <w:sz w:val="16"/>
          <w:szCs w:val="16"/>
        </w:rPr>
        <w:t>III.</w:t>
      </w:r>
      <w:r w:rsidRPr="000540F8">
        <w:rPr>
          <w:rFonts w:ascii="Times New Roman" w:hAnsi="Times New Roman"/>
          <w:b/>
          <w:spacing w:val="-2"/>
          <w:sz w:val="16"/>
          <w:szCs w:val="16"/>
        </w:rPr>
        <w:tab/>
        <w:t>Kein Verwertungsverbot bei Spontanäußerungen und informatorischer Befragung:</w:t>
      </w:r>
      <w:r w:rsidRPr="000540F8">
        <w:rPr>
          <w:rFonts w:ascii="Times New Roman" w:hAnsi="Times New Roman"/>
          <w:spacing w:val="-2"/>
          <w:sz w:val="16"/>
          <w:szCs w:val="16"/>
        </w:rPr>
        <w:t xml:space="preserve"> Aussagen, die der Beschuldigte außerhalb einer Vernehmung tätigt, bleiben indessen verwertbar. Dies ist der Fall bei Äußerungen, die der Beschuldigte ohne Aufforderung von sich aus tätigt (Spontanäußerungen) sowie </w:t>
      </w:r>
      <w:r w:rsidR="008F12ED" w:rsidRPr="000540F8">
        <w:rPr>
          <w:rFonts w:ascii="Times New Roman" w:hAnsi="Times New Roman"/>
          <w:spacing w:val="-2"/>
          <w:sz w:val="16"/>
          <w:szCs w:val="16"/>
        </w:rPr>
        <w:t xml:space="preserve">nach </w:t>
      </w:r>
      <w:proofErr w:type="spellStart"/>
      <w:r w:rsidR="008F12ED" w:rsidRPr="000540F8">
        <w:rPr>
          <w:rFonts w:ascii="Times New Roman" w:hAnsi="Times New Roman"/>
          <w:spacing w:val="-2"/>
          <w:sz w:val="16"/>
          <w:szCs w:val="16"/>
        </w:rPr>
        <w:t>h.M</w:t>
      </w:r>
      <w:proofErr w:type="spellEnd"/>
      <w:r w:rsidR="008F12ED" w:rsidRPr="000540F8">
        <w:rPr>
          <w:rFonts w:ascii="Times New Roman" w:hAnsi="Times New Roman"/>
          <w:spacing w:val="-2"/>
          <w:sz w:val="16"/>
          <w:szCs w:val="16"/>
        </w:rPr>
        <w:t xml:space="preserve">. auch </w:t>
      </w:r>
      <w:r w:rsidRPr="000540F8">
        <w:rPr>
          <w:rFonts w:ascii="Times New Roman" w:hAnsi="Times New Roman"/>
          <w:spacing w:val="-2"/>
          <w:sz w:val="16"/>
          <w:szCs w:val="16"/>
        </w:rPr>
        <w:t>bei Aussagen</w:t>
      </w:r>
      <w:r w:rsidR="008F12ED" w:rsidRPr="000540F8">
        <w:rPr>
          <w:rFonts w:ascii="Times New Roman" w:hAnsi="Times New Roman"/>
          <w:spacing w:val="-2"/>
          <w:sz w:val="16"/>
          <w:szCs w:val="16"/>
        </w:rPr>
        <w:t xml:space="preserve"> innerhalb</w:t>
      </w:r>
      <w:r w:rsidRPr="000540F8">
        <w:rPr>
          <w:rFonts w:ascii="Times New Roman" w:hAnsi="Times New Roman"/>
          <w:spacing w:val="-2"/>
          <w:sz w:val="16"/>
          <w:szCs w:val="16"/>
        </w:rPr>
        <w:t xml:space="preserve"> einer informatorischen Befragung, d.h. der Befragung einer Person, gegen die noch kein Anfangsverdacht besteht und die deshalb auch noch nicht Beschuldigter ist.</w:t>
      </w:r>
    </w:p>
    <w:p w14:paraId="351965D0" w14:textId="0B11C73C" w:rsidR="007567D4" w:rsidRPr="003127CA" w:rsidRDefault="007567D4" w:rsidP="008556DE">
      <w:pPr>
        <w:widowControl/>
        <w:tabs>
          <w:tab w:val="left" w:pos="-720"/>
          <w:tab w:val="left" w:pos="567"/>
          <w:tab w:val="left" w:pos="864"/>
          <w:tab w:val="left" w:pos="1116"/>
          <w:tab w:val="left" w:pos="1404"/>
          <w:tab w:val="left" w:pos="1692"/>
          <w:tab w:val="left" w:pos="1980"/>
          <w:tab w:val="left" w:pos="2268"/>
          <w:tab w:val="left" w:pos="2880"/>
        </w:tabs>
        <w:ind w:left="284" w:hanging="284"/>
        <w:jc w:val="both"/>
        <w:rPr>
          <w:rFonts w:ascii="Times New Roman" w:hAnsi="Times New Roman"/>
          <w:spacing w:val="-2"/>
          <w:sz w:val="17"/>
          <w:szCs w:val="17"/>
        </w:rPr>
      </w:pPr>
      <w:r w:rsidRPr="000540F8">
        <w:rPr>
          <w:rFonts w:ascii="Times New Roman" w:hAnsi="Times New Roman"/>
          <w:b/>
          <w:spacing w:val="-2"/>
          <w:sz w:val="16"/>
          <w:szCs w:val="16"/>
        </w:rPr>
        <w:t>IV.</w:t>
      </w:r>
      <w:r w:rsidRPr="000540F8">
        <w:rPr>
          <w:rFonts w:ascii="Times New Roman" w:hAnsi="Times New Roman"/>
          <w:b/>
          <w:spacing w:val="-2"/>
          <w:sz w:val="16"/>
          <w:szCs w:val="16"/>
        </w:rPr>
        <w:tab/>
      </w:r>
      <w:r w:rsidR="006019D7">
        <w:rPr>
          <w:rFonts w:ascii="Times New Roman" w:hAnsi="Times New Roman"/>
          <w:b/>
          <w:spacing w:val="-2"/>
          <w:sz w:val="16"/>
          <w:szCs w:val="16"/>
        </w:rPr>
        <w:t>Fort</w:t>
      </w:r>
      <w:r w:rsidR="006019D7" w:rsidRPr="00A743D4">
        <w:rPr>
          <w:rFonts w:ascii="Times New Roman" w:hAnsi="Times New Roman"/>
          <w:b/>
          <w:spacing w:val="-2"/>
          <w:sz w:val="16"/>
          <w:szCs w:val="16"/>
        </w:rPr>
        <w:t xml:space="preserve">wirkung </w:t>
      </w:r>
      <w:r w:rsidRPr="00A743D4">
        <w:rPr>
          <w:rFonts w:ascii="Times New Roman" w:hAnsi="Times New Roman"/>
          <w:b/>
          <w:spacing w:val="-2"/>
          <w:sz w:val="16"/>
          <w:szCs w:val="16"/>
        </w:rPr>
        <w:t>des Beweisverwertungsverbots</w:t>
      </w:r>
      <w:r w:rsidR="000370B2" w:rsidRPr="00A743D4">
        <w:rPr>
          <w:rFonts w:ascii="Times New Roman" w:hAnsi="Times New Roman"/>
          <w:b/>
          <w:spacing w:val="-2"/>
          <w:sz w:val="16"/>
          <w:szCs w:val="16"/>
        </w:rPr>
        <w:t xml:space="preserve"> bei erneuten Aussagen</w:t>
      </w:r>
      <w:r w:rsidRPr="00A743D4">
        <w:rPr>
          <w:rFonts w:ascii="Times New Roman" w:hAnsi="Times New Roman"/>
          <w:b/>
          <w:spacing w:val="-2"/>
          <w:sz w:val="16"/>
          <w:szCs w:val="16"/>
        </w:rPr>
        <w:t>:</w:t>
      </w:r>
      <w:r w:rsidRPr="00A743D4">
        <w:rPr>
          <w:rFonts w:ascii="Times New Roman" w:hAnsi="Times New Roman"/>
          <w:spacing w:val="-2"/>
          <w:sz w:val="16"/>
          <w:szCs w:val="16"/>
        </w:rPr>
        <w:t xml:space="preserve"> </w:t>
      </w:r>
      <w:r w:rsidR="00A743D4" w:rsidRPr="006019D7">
        <w:rPr>
          <w:rFonts w:ascii="Times New Roman" w:hAnsi="Times New Roman"/>
          <w:spacing w:val="-2"/>
          <w:sz w:val="16"/>
          <w:szCs w:val="16"/>
        </w:rPr>
        <w:t>Wird ein Tatverdächtiger zunächst zu Unrecht als Zeuge vernommen, so ist er wegen des Belehrungsverstoßes (§</w:t>
      </w:r>
      <w:r w:rsidR="00781D7B">
        <w:rPr>
          <w:rFonts w:ascii="Times New Roman" w:hAnsi="Times New Roman"/>
          <w:spacing w:val="-2"/>
          <w:sz w:val="16"/>
          <w:szCs w:val="16"/>
        </w:rPr>
        <w:t> </w:t>
      </w:r>
      <w:r w:rsidR="00A743D4" w:rsidRPr="006019D7">
        <w:rPr>
          <w:rFonts w:ascii="Times New Roman" w:hAnsi="Times New Roman"/>
          <w:spacing w:val="-2"/>
          <w:sz w:val="16"/>
          <w:szCs w:val="16"/>
        </w:rPr>
        <w:t xml:space="preserve">136 I 2 StPO) bei Beginn der nachfolgenden Vernehmung als Beschuldigter auf die </w:t>
      </w:r>
      <w:r w:rsidR="00A743D4" w:rsidRPr="006019D7">
        <w:rPr>
          <w:rFonts w:ascii="Times New Roman" w:hAnsi="Times New Roman"/>
          <w:b/>
          <w:spacing w:val="-2"/>
          <w:sz w:val="16"/>
          <w:szCs w:val="16"/>
        </w:rPr>
        <w:t>Unverwertbarkeit der früheren Angaben</w:t>
      </w:r>
      <w:r w:rsidR="00A743D4" w:rsidRPr="006019D7">
        <w:rPr>
          <w:rFonts w:ascii="Times New Roman" w:hAnsi="Times New Roman"/>
          <w:spacing w:val="-2"/>
          <w:sz w:val="16"/>
          <w:szCs w:val="16"/>
        </w:rPr>
        <w:t xml:space="preserve"> hinzuweisen (</w:t>
      </w:r>
      <w:r w:rsidR="00A743D4" w:rsidRPr="006019D7">
        <w:rPr>
          <w:rFonts w:ascii="Times New Roman" w:hAnsi="Times New Roman"/>
          <w:b/>
          <w:spacing w:val="-2"/>
          <w:sz w:val="16"/>
          <w:szCs w:val="16"/>
        </w:rPr>
        <w:t>Erfordernis einer „qualifizierten“ Belehrung</w:t>
      </w:r>
      <w:r w:rsidR="00A743D4" w:rsidRPr="006019D7">
        <w:rPr>
          <w:rFonts w:ascii="Times New Roman" w:hAnsi="Times New Roman"/>
          <w:spacing w:val="-2"/>
          <w:sz w:val="16"/>
          <w:szCs w:val="16"/>
        </w:rPr>
        <w:t>). Das Recht zu schweigen und das Recht, sich nicht selbst belasten zu müssen (</w:t>
      </w:r>
      <w:r w:rsidR="00FA7FA9">
        <w:rPr>
          <w:rFonts w:ascii="Times New Roman" w:hAnsi="Times New Roman"/>
          <w:spacing w:val="-2"/>
          <w:sz w:val="16"/>
          <w:szCs w:val="16"/>
        </w:rPr>
        <w:t>N</w:t>
      </w:r>
      <w:r w:rsidR="00A743D4" w:rsidRPr="006019D7">
        <w:rPr>
          <w:rFonts w:ascii="Times New Roman" w:hAnsi="Times New Roman"/>
          <w:spacing w:val="-2"/>
          <w:sz w:val="16"/>
          <w:szCs w:val="16"/>
        </w:rPr>
        <w:t>emo</w:t>
      </w:r>
      <w:r w:rsidR="00781D7B">
        <w:rPr>
          <w:rFonts w:ascii="Times New Roman" w:hAnsi="Times New Roman"/>
          <w:spacing w:val="-2"/>
          <w:sz w:val="16"/>
          <w:szCs w:val="16"/>
        </w:rPr>
        <w:t>-</w:t>
      </w:r>
      <w:r w:rsidR="00A743D4" w:rsidRPr="006019D7">
        <w:rPr>
          <w:rFonts w:ascii="Times New Roman" w:hAnsi="Times New Roman"/>
          <w:spacing w:val="-2"/>
          <w:sz w:val="16"/>
          <w:szCs w:val="16"/>
        </w:rPr>
        <w:t>tenetur-Grundsatz), gehören zum „Kernstück des von Art.</w:t>
      </w:r>
      <w:r w:rsidR="00781D7B">
        <w:rPr>
          <w:rFonts w:ascii="Times New Roman" w:hAnsi="Times New Roman"/>
          <w:spacing w:val="-2"/>
          <w:sz w:val="16"/>
          <w:szCs w:val="16"/>
        </w:rPr>
        <w:t> </w:t>
      </w:r>
      <w:r w:rsidR="00A743D4" w:rsidRPr="006019D7">
        <w:rPr>
          <w:rFonts w:ascii="Times New Roman" w:hAnsi="Times New Roman"/>
          <w:spacing w:val="-2"/>
          <w:sz w:val="16"/>
          <w:szCs w:val="16"/>
        </w:rPr>
        <w:t xml:space="preserve">6 </w:t>
      </w:r>
      <w:r w:rsidR="00877B12">
        <w:rPr>
          <w:rFonts w:ascii="Times New Roman" w:hAnsi="Times New Roman"/>
          <w:spacing w:val="-2"/>
          <w:sz w:val="16"/>
          <w:szCs w:val="16"/>
        </w:rPr>
        <w:t>I 1</w:t>
      </w:r>
      <w:r w:rsidR="00A743D4" w:rsidRPr="006019D7">
        <w:rPr>
          <w:rFonts w:ascii="Times New Roman" w:hAnsi="Times New Roman"/>
          <w:spacing w:val="-2"/>
          <w:sz w:val="16"/>
          <w:szCs w:val="16"/>
        </w:rPr>
        <w:t xml:space="preserve"> EMRK garantierten fairen Verfahrens“ (EGMR NJW 2002, 499 (501)). Gerade deshalb muss die rechtsstaatliche Ordnung Vorkehrungen in Form einer „qualifizierten“ Belehrung treffen, die verhindert, dass ein Beschuldigter auf sein Aussageverweigerungsrecht nur deshalb verzichtet, weil er möglicherweise glaubt, eine frühere </w:t>
      </w:r>
      <w:r w:rsidR="007D56E0">
        <w:rPr>
          <w:rFonts w:ascii="Times New Roman" w:hAnsi="Times New Roman"/>
          <w:spacing w:val="-2"/>
          <w:sz w:val="16"/>
          <w:szCs w:val="16"/>
        </w:rPr>
        <w:t>(</w:t>
      </w:r>
      <w:r w:rsidR="00A743D4" w:rsidRPr="006019D7">
        <w:rPr>
          <w:rFonts w:ascii="Times New Roman" w:hAnsi="Times New Roman"/>
          <w:spacing w:val="-2"/>
          <w:sz w:val="16"/>
          <w:szCs w:val="16"/>
        </w:rPr>
        <w:t>unter Verstoß gegen die Belehrungspflicht zustande gekommene</w:t>
      </w:r>
      <w:r w:rsidR="007D56E0">
        <w:rPr>
          <w:rFonts w:ascii="Times New Roman" w:hAnsi="Times New Roman"/>
          <w:spacing w:val="-2"/>
          <w:sz w:val="16"/>
          <w:szCs w:val="16"/>
        </w:rPr>
        <w:t>)</w:t>
      </w:r>
      <w:r w:rsidR="00A743D4" w:rsidRPr="006019D7">
        <w:rPr>
          <w:rFonts w:ascii="Times New Roman" w:hAnsi="Times New Roman"/>
          <w:spacing w:val="-2"/>
          <w:sz w:val="16"/>
          <w:szCs w:val="16"/>
        </w:rPr>
        <w:t xml:space="preserve"> Selbstbelastung nicht mehr aus der Welt schaffen zu können. Unterbleibt diese „qualifizierte“ Belehrung, können nach der </w:t>
      </w:r>
      <w:proofErr w:type="spellStart"/>
      <w:r w:rsidR="00A743D4" w:rsidRPr="006019D7">
        <w:rPr>
          <w:rFonts w:ascii="Times New Roman" w:hAnsi="Times New Roman"/>
          <w:spacing w:val="-2"/>
          <w:sz w:val="16"/>
          <w:szCs w:val="16"/>
        </w:rPr>
        <w:t>Rspr</w:t>
      </w:r>
      <w:proofErr w:type="spellEnd"/>
      <w:r w:rsidR="00A743D4" w:rsidRPr="006019D7">
        <w:rPr>
          <w:rFonts w:ascii="Times New Roman" w:hAnsi="Times New Roman"/>
          <w:spacing w:val="-2"/>
          <w:sz w:val="16"/>
          <w:szCs w:val="16"/>
        </w:rPr>
        <w:t xml:space="preserve">. trotz rechtzeitigen Widerspruchs die nach der Belehrung als Beschuldigter gemachten Angaben nach Maßgabe einer </w:t>
      </w:r>
      <w:r w:rsidR="00A743D4" w:rsidRPr="006019D7">
        <w:rPr>
          <w:rFonts w:ascii="Times New Roman" w:hAnsi="Times New Roman"/>
          <w:b/>
          <w:spacing w:val="-2"/>
          <w:sz w:val="16"/>
          <w:szCs w:val="16"/>
        </w:rPr>
        <w:t xml:space="preserve">Abwägung </w:t>
      </w:r>
      <w:r w:rsidR="00A743D4" w:rsidRPr="006019D7">
        <w:rPr>
          <w:rFonts w:ascii="Times New Roman" w:hAnsi="Times New Roman"/>
          <w:spacing w:val="-2"/>
          <w:sz w:val="16"/>
          <w:szCs w:val="16"/>
        </w:rPr>
        <w:t xml:space="preserve">im Einzelfall dennoch </w:t>
      </w:r>
      <w:r w:rsidR="00A743D4" w:rsidRPr="006019D7">
        <w:rPr>
          <w:rFonts w:ascii="Times New Roman" w:hAnsi="Times New Roman"/>
          <w:b/>
          <w:spacing w:val="-2"/>
          <w:sz w:val="16"/>
          <w:szCs w:val="16"/>
        </w:rPr>
        <w:t>verwertbar</w:t>
      </w:r>
      <w:r w:rsidR="00A743D4" w:rsidRPr="006019D7">
        <w:rPr>
          <w:rFonts w:ascii="Times New Roman" w:hAnsi="Times New Roman"/>
          <w:spacing w:val="-2"/>
          <w:sz w:val="16"/>
          <w:szCs w:val="16"/>
        </w:rPr>
        <w:t xml:space="preserve"> sein. Neben dem in die Abwägung einzubeziehenden </w:t>
      </w:r>
      <w:r w:rsidR="00A743D4" w:rsidRPr="006019D7">
        <w:rPr>
          <w:rFonts w:ascii="Times New Roman" w:hAnsi="Times New Roman"/>
          <w:b/>
          <w:spacing w:val="-2"/>
          <w:sz w:val="16"/>
          <w:szCs w:val="16"/>
        </w:rPr>
        <w:t>Gewicht des Verfahrensverstoßes</w:t>
      </w:r>
      <w:r w:rsidR="00A743D4" w:rsidRPr="006019D7">
        <w:rPr>
          <w:rFonts w:ascii="Times New Roman" w:hAnsi="Times New Roman"/>
          <w:spacing w:val="-2"/>
          <w:sz w:val="16"/>
          <w:szCs w:val="16"/>
        </w:rPr>
        <w:t xml:space="preserve"> und des </w:t>
      </w:r>
      <w:r w:rsidR="00A743D4" w:rsidRPr="006019D7">
        <w:rPr>
          <w:rFonts w:ascii="Times New Roman" w:hAnsi="Times New Roman"/>
          <w:b/>
          <w:spacing w:val="-2"/>
          <w:sz w:val="16"/>
          <w:szCs w:val="16"/>
        </w:rPr>
        <w:t>Sachaufklärungsinteresses</w:t>
      </w:r>
      <w:r w:rsidR="00A743D4" w:rsidRPr="006019D7">
        <w:rPr>
          <w:rFonts w:ascii="Times New Roman" w:hAnsi="Times New Roman"/>
          <w:spacing w:val="-2"/>
          <w:sz w:val="16"/>
          <w:szCs w:val="16"/>
        </w:rPr>
        <w:t xml:space="preserve"> ist maßgeblich darauf abzustellen, </w:t>
      </w:r>
      <w:r w:rsidR="00A743D4" w:rsidRPr="006019D7">
        <w:rPr>
          <w:rFonts w:ascii="Times New Roman" w:hAnsi="Times New Roman"/>
          <w:b/>
          <w:spacing w:val="-2"/>
          <w:sz w:val="16"/>
          <w:szCs w:val="16"/>
        </w:rPr>
        <w:t>ob der Betreffende nach erfolgter Beschuldigtenbelehrung davon ausgegangen ist, von seinen früheren Angaben nicht mehr abrücken zu können</w:t>
      </w:r>
      <w:r w:rsidR="00A743D4" w:rsidRPr="006019D7">
        <w:rPr>
          <w:rFonts w:ascii="Times New Roman" w:hAnsi="Times New Roman"/>
          <w:spacing w:val="-2"/>
          <w:sz w:val="16"/>
          <w:szCs w:val="16"/>
        </w:rPr>
        <w:t xml:space="preserve"> (BGHSt 53, 112).</w:t>
      </w:r>
    </w:p>
    <w:p w14:paraId="2A63B042" w14:textId="77777777" w:rsidR="007567D4" w:rsidRPr="006019D7" w:rsidRDefault="007567D4" w:rsidP="00E962BF">
      <w:pPr>
        <w:tabs>
          <w:tab w:val="left" w:pos="864"/>
          <w:tab w:val="left" w:pos="1692"/>
          <w:tab w:val="left" w:pos="2240"/>
          <w:tab w:val="left" w:pos="2800"/>
          <w:tab w:val="left" w:pos="3360"/>
          <w:tab w:val="left" w:pos="3920"/>
          <w:tab w:val="left" w:pos="4480"/>
          <w:tab w:val="left" w:pos="5040"/>
          <w:tab w:val="left" w:pos="5600"/>
          <w:tab w:val="left" w:pos="6160"/>
          <w:tab w:val="left" w:pos="6720"/>
        </w:tabs>
        <w:ind w:left="567"/>
        <w:jc w:val="both"/>
        <w:rPr>
          <w:rFonts w:ascii="Times New Roman" w:hAnsi="Times New Roman"/>
          <w:b/>
          <w:spacing w:val="-2"/>
          <w:sz w:val="13"/>
          <w:szCs w:val="13"/>
        </w:rPr>
      </w:pPr>
      <w:r w:rsidRPr="006019D7">
        <w:rPr>
          <w:rFonts w:ascii="Times New Roman" w:hAnsi="Times New Roman"/>
          <w:spacing w:val="-2"/>
          <w:sz w:val="13"/>
          <w:szCs w:val="13"/>
        </w:rPr>
        <w:t xml:space="preserve"> </w:t>
      </w:r>
    </w:p>
    <w:p w14:paraId="4D6DA9B2" w14:textId="72B78B44" w:rsidR="007567D4" w:rsidRPr="008556DE" w:rsidRDefault="007567D4" w:rsidP="008556DE">
      <w:pPr>
        <w:widowControl/>
        <w:tabs>
          <w:tab w:val="left" w:pos="-720"/>
          <w:tab w:val="left" w:pos="0"/>
          <w:tab w:val="left" w:pos="288"/>
          <w:tab w:val="left" w:pos="567"/>
          <w:tab w:val="left" w:pos="864"/>
          <w:tab w:val="left" w:pos="1116"/>
          <w:tab w:val="left" w:pos="1404"/>
          <w:tab w:val="left" w:pos="1692"/>
          <w:tab w:val="left" w:pos="1980"/>
          <w:tab w:val="left" w:pos="2268"/>
          <w:tab w:val="left" w:pos="2880"/>
        </w:tabs>
        <w:ind w:left="1980" w:hanging="1980"/>
        <w:jc w:val="both"/>
        <w:rPr>
          <w:rFonts w:ascii="Times New Roman" w:hAnsi="Times New Roman"/>
          <w:spacing w:val="-2"/>
          <w:sz w:val="13"/>
          <w:szCs w:val="13"/>
        </w:rPr>
      </w:pPr>
      <w:r w:rsidRPr="008556DE">
        <w:rPr>
          <w:rFonts w:ascii="Times New Roman" w:hAnsi="Times New Roman"/>
          <w:b/>
          <w:spacing w:val="-2"/>
          <w:sz w:val="13"/>
          <w:szCs w:val="13"/>
        </w:rPr>
        <w:t>Literatur/Lehrbücher:</w:t>
      </w:r>
      <w:r w:rsidRPr="008556DE">
        <w:rPr>
          <w:rFonts w:ascii="Times New Roman" w:hAnsi="Times New Roman"/>
          <w:b/>
          <w:spacing w:val="-2"/>
          <w:sz w:val="13"/>
          <w:szCs w:val="13"/>
        </w:rPr>
        <w:tab/>
      </w:r>
      <w:r w:rsidR="000F7F19" w:rsidRPr="008556DE">
        <w:rPr>
          <w:rFonts w:ascii="Times New Roman" w:hAnsi="Times New Roman"/>
          <w:i/>
          <w:spacing w:val="-2"/>
          <w:sz w:val="13"/>
          <w:szCs w:val="13"/>
        </w:rPr>
        <w:t>Heinrich/Reinbacher</w:t>
      </w:r>
      <w:r w:rsidR="000F7F19" w:rsidRPr="008556DE">
        <w:rPr>
          <w:rFonts w:ascii="Times New Roman" w:hAnsi="Times New Roman"/>
          <w:spacing w:val="-2"/>
          <w:sz w:val="13"/>
          <w:szCs w:val="13"/>
        </w:rPr>
        <w:t xml:space="preserve">, Examinatorium Strafprozessrecht, </w:t>
      </w:r>
      <w:r w:rsidR="007E4D7A" w:rsidRPr="008556DE">
        <w:rPr>
          <w:rFonts w:ascii="Times New Roman" w:hAnsi="Times New Roman"/>
          <w:spacing w:val="-2"/>
          <w:sz w:val="13"/>
          <w:szCs w:val="13"/>
        </w:rPr>
        <w:t>4</w:t>
      </w:r>
      <w:r w:rsidR="00A929AE" w:rsidRPr="008556DE">
        <w:rPr>
          <w:rFonts w:ascii="Times New Roman" w:hAnsi="Times New Roman"/>
          <w:spacing w:val="-2"/>
          <w:sz w:val="13"/>
          <w:szCs w:val="13"/>
        </w:rPr>
        <w:t xml:space="preserve">. Auflage </w:t>
      </w:r>
      <w:r w:rsidR="009160D0" w:rsidRPr="008556DE">
        <w:rPr>
          <w:rFonts w:ascii="Times New Roman" w:hAnsi="Times New Roman"/>
          <w:spacing w:val="-2"/>
          <w:sz w:val="13"/>
          <w:szCs w:val="13"/>
        </w:rPr>
        <w:t>202</w:t>
      </w:r>
      <w:r w:rsidR="007E4D7A" w:rsidRPr="008556DE">
        <w:rPr>
          <w:rFonts w:ascii="Times New Roman" w:hAnsi="Times New Roman"/>
          <w:spacing w:val="-2"/>
          <w:sz w:val="13"/>
          <w:szCs w:val="13"/>
        </w:rPr>
        <w:t>3</w:t>
      </w:r>
      <w:r w:rsidR="00A929AE" w:rsidRPr="008556DE">
        <w:rPr>
          <w:rFonts w:ascii="Times New Roman" w:hAnsi="Times New Roman"/>
          <w:spacing w:val="-2"/>
          <w:sz w:val="13"/>
          <w:szCs w:val="13"/>
        </w:rPr>
        <w:t xml:space="preserve">, </w:t>
      </w:r>
      <w:r w:rsidR="000F7F19" w:rsidRPr="008556DE">
        <w:rPr>
          <w:rFonts w:ascii="Times New Roman" w:hAnsi="Times New Roman"/>
          <w:spacing w:val="-2"/>
          <w:sz w:val="13"/>
          <w:szCs w:val="13"/>
        </w:rPr>
        <w:t>Problem</w:t>
      </w:r>
      <w:r w:rsidR="00781D7B" w:rsidRPr="008556DE">
        <w:rPr>
          <w:rFonts w:ascii="Times New Roman" w:hAnsi="Times New Roman"/>
          <w:spacing w:val="-2"/>
          <w:sz w:val="13"/>
          <w:szCs w:val="13"/>
        </w:rPr>
        <w:t> </w:t>
      </w:r>
      <w:r w:rsidR="000F7F19" w:rsidRPr="008556DE">
        <w:rPr>
          <w:rFonts w:ascii="Times New Roman" w:hAnsi="Times New Roman"/>
          <w:spacing w:val="-2"/>
          <w:sz w:val="13"/>
          <w:szCs w:val="13"/>
        </w:rPr>
        <w:t>27.</w:t>
      </w:r>
    </w:p>
    <w:p w14:paraId="0313E3B7" w14:textId="6868D7C5" w:rsidR="007567D4" w:rsidRPr="008556DE" w:rsidRDefault="007567D4" w:rsidP="008556DE">
      <w:pPr>
        <w:widowControl/>
        <w:tabs>
          <w:tab w:val="left" w:pos="-720"/>
          <w:tab w:val="left" w:pos="288"/>
          <w:tab w:val="left" w:pos="567"/>
          <w:tab w:val="left" w:pos="864"/>
          <w:tab w:val="left" w:pos="1116"/>
          <w:tab w:val="left" w:pos="1404"/>
          <w:tab w:val="left" w:pos="1701"/>
          <w:tab w:val="left" w:pos="2268"/>
          <w:tab w:val="left" w:pos="2880"/>
        </w:tabs>
        <w:ind w:left="1400" w:hanging="1400"/>
        <w:jc w:val="both"/>
        <w:rPr>
          <w:rFonts w:ascii="Times New Roman" w:hAnsi="Times New Roman"/>
          <w:spacing w:val="-2"/>
          <w:sz w:val="13"/>
          <w:szCs w:val="13"/>
        </w:rPr>
      </w:pPr>
      <w:r w:rsidRPr="008556DE">
        <w:rPr>
          <w:rFonts w:ascii="Times New Roman" w:hAnsi="Times New Roman"/>
          <w:b/>
          <w:spacing w:val="-2"/>
          <w:sz w:val="13"/>
          <w:szCs w:val="13"/>
        </w:rPr>
        <w:t>Literatur/Aufsätze:</w:t>
      </w:r>
      <w:r w:rsidRPr="008556DE">
        <w:rPr>
          <w:rFonts w:ascii="Times New Roman" w:hAnsi="Times New Roman"/>
          <w:b/>
          <w:spacing w:val="-2"/>
          <w:sz w:val="13"/>
          <w:szCs w:val="13"/>
        </w:rPr>
        <w:tab/>
      </w:r>
      <w:r w:rsidRPr="008556DE">
        <w:rPr>
          <w:rFonts w:ascii="Times New Roman" w:hAnsi="Times New Roman"/>
          <w:b/>
          <w:spacing w:val="-2"/>
          <w:sz w:val="13"/>
          <w:szCs w:val="13"/>
        </w:rPr>
        <w:tab/>
      </w:r>
      <w:r w:rsidR="00D071DF" w:rsidRPr="008556DE">
        <w:rPr>
          <w:rFonts w:ascii="Times New Roman" w:hAnsi="Times New Roman"/>
          <w:i/>
          <w:spacing w:val="-2"/>
          <w:sz w:val="13"/>
          <w:szCs w:val="13"/>
        </w:rPr>
        <w:t>Bittmann</w:t>
      </w:r>
      <w:r w:rsidR="00D071DF" w:rsidRPr="008556DE">
        <w:rPr>
          <w:rFonts w:ascii="Times New Roman" w:hAnsi="Times New Roman"/>
          <w:spacing w:val="-2"/>
          <w:sz w:val="13"/>
          <w:szCs w:val="13"/>
        </w:rPr>
        <w:t xml:space="preserve">, Änderungen im Untersuchungsstrafrecht, </w:t>
      </w:r>
      <w:proofErr w:type="spellStart"/>
      <w:r w:rsidR="00D071DF" w:rsidRPr="008556DE">
        <w:rPr>
          <w:rFonts w:ascii="Times New Roman" w:hAnsi="Times New Roman"/>
          <w:spacing w:val="-2"/>
          <w:sz w:val="13"/>
          <w:szCs w:val="13"/>
        </w:rPr>
        <w:t>Ju</w:t>
      </w:r>
      <w:r w:rsidR="004E63D5" w:rsidRPr="008556DE">
        <w:rPr>
          <w:rFonts w:ascii="Times New Roman" w:hAnsi="Times New Roman"/>
          <w:spacing w:val="-2"/>
          <w:sz w:val="13"/>
          <w:szCs w:val="13"/>
        </w:rPr>
        <w:t>S</w:t>
      </w:r>
      <w:proofErr w:type="spellEnd"/>
      <w:r w:rsidR="00D071DF" w:rsidRPr="008556DE">
        <w:rPr>
          <w:rFonts w:ascii="Times New Roman" w:hAnsi="Times New Roman"/>
          <w:spacing w:val="-2"/>
          <w:sz w:val="13"/>
          <w:szCs w:val="13"/>
        </w:rPr>
        <w:t> 2010, 510;</w:t>
      </w:r>
      <w:r w:rsidR="00D071DF" w:rsidRPr="008556DE">
        <w:rPr>
          <w:rFonts w:ascii="Times New Roman" w:hAnsi="Times New Roman"/>
          <w:b/>
          <w:spacing w:val="-2"/>
          <w:sz w:val="13"/>
          <w:szCs w:val="13"/>
        </w:rPr>
        <w:t xml:space="preserve"> </w:t>
      </w:r>
      <w:r w:rsidRPr="008556DE">
        <w:rPr>
          <w:rFonts w:ascii="Times New Roman" w:hAnsi="Times New Roman"/>
          <w:i/>
          <w:spacing w:val="-2"/>
          <w:sz w:val="13"/>
          <w:szCs w:val="13"/>
        </w:rPr>
        <w:t>Bosch</w:t>
      </w:r>
      <w:r w:rsidRPr="008556DE">
        <w:rPr>
          <w:rFonts w:ascii="Times New Roman" w:hAnsi="Times New Roman"/>
          <w:spacing w:val="-2"/>
          <w:sz w:val="13"/>
          <w:szCs w:val="13"/>
        </w:rPr>
        <w:t xml:space="preserve">, Die verdeckte Befragung des Beschuldigten – Strafrechtspflege ohne Grenzen?, JURA 1998, 236; </w:t>
      </w:r>
      <w:proofErr w:type="spellStart"/>
      <w:r w:rsidRPr="008556DE">
        <w:rPr>
          <w:rFonts w:ascii="Times New Roman" w:hAnsi="Times New Roman"/>
          <w:i/>
          <w:spacing w:val="-2"/>
          <w:sz w:val="13"/>
          <w:szCs w:val="13"/>
        </w:rPr>
        <w:t>ders</w:t>
      </w:r>
      <w:proofErr w:type="spellEnd"/>
      <w:r w:rsidRPr="008556DE">
        <w:rPr>
          <w:rFonts w:ascii="Times New Roman" w:hAnsi="Times New Roman"/>
          <w:i/>
          <w:spacing w:val="-2"/>
          <w:sz w:val="13"/>
          <w:szCs w:val="13"/>
        </w:rPr>
        <w:t>.</w:t>
      </w:r>
      <w:r w:rsidRPr="008556DE">
        <w:rPr>
          <w:rFonts w:ascii="Times New Roman" w:hAnsi="Times New Roman"/>
          <w:spacing w:val="-2"/>
          <w:sz w:val="13"/>
          <w:szCs w:val="13"/>
        </w:rPr>
        <w:t xml:space="preserve">, Beschuldigtenvernehmung und Verteidigerkonsultation, JA 2006, 408; </w:t>
      </w:r>
      <w:proofErr w:type="spellStart"/>
      <w:r w:rsidRPr="008556DE">
        <w:rPr>
          <w:rFonts w:ascii="Times New Roman" w:hAnsi="Times New Roman"/>
          <w:i/>
          <w:spacing w:val="-2"/>
          <w:sz w:val="13"/>
          <w:szCs w:val="13"/>
        </w:rPr>
        <w:t>ders</w:t>
      </w:r>
      <w:proofErr w:type="spellEnd"/>
      <w:r w:rsidRPr="008556DE">
        <w:rPr>
          <w:rFonts w:ascii="Times New Roman" w:hAnsi="Times New Roman"/>
          <w:i/>
          <w:spacing w:val="-2"/>
          <w:sz w:val="13"/>
          <w:szCs w:val="13"/>
        </w:rPr>
        <w:t>.</w:t>
      </w:r>
      <w:r w:rsidRPr="008556DE">
        <w:rPr>
          <w:rFonts w:ascii="Times New Roman" w:hAnsi="Times New Roman"/>
          <w:spacing w:val="-2"/>
          <w:sz w:val="13"/>
          <w:szCs w:val="13"/>
        </w:rPr>
        <w:t xml:space="preserve">, Belehrungspflichten bei absehbarer Pflichtverteidigung und Erfordernis qualifizierter Belehrung, JA 2006, 412; </w:t>
      </w:r>
      <w:proofErr w:type="spellStart"/>
      <w:r w:rsidRPr="008556DE">
        <w:rPr>
          <w:rFonts w:ascii="Times New Roman" w:hAnsi="Times New Roman"/>
          <w:i/>
          <w:spacing w:val="-2"/>
          <w:sz w:val="13"/>
          <w:szCs w:val="13"/>
        </w:rPr>
        <w:t>ders</w:t>
      </w:r>
      <w:proofErr w:type="spellEnd"/>
      <w:r w:rsidRPr="008556DE">
        <w:rPr>
          <w:rFonts w:ascii="Times New Roman" w:hAnsi="Times New Roman"/>
          <w:i/>
          <w:spacing w:val="-2"/>
          <w:sz w:val="13"/>
          <w:szCs w:val="13"/>
        </w:rPr>
        <w:t>.</w:t>
      </w:r>
      <w:r w:rsidRPr="008556DE">
        <w:rPr>
          <w:rFonts w:ascii="Times New Roman" w:hAnsi="Times New Roman"/>
          <w:spacing w:val="-2"/>
          <w:sz w:val="13"/>
          <w:szCs w:val="13"/>
        </w:rPr>
        <w:t xml:space="preserve">, Reichweite des </w:t>
      </w:r>
      <w:proofErr w:type="spellStart"/>
      <w:r w:rsidRPr="008556DE">
        <w:rPr>
          <w:rFonts w:ascii="Times New Roman" w:hAnsi="Times New Roman"/>
          <w:spacing w:val="-2"/>
          <w:sz w:val="13"/>
          <w:szCs w:val="13"/>
        </w:rPr>
        <w:t>nemo</w:t>
      </w:r>
      <w:proofErr w:type="spellEnd"/>
      <w:r w:rsidRPr="008556DE">
        <w:rPr>
          <w:rFonts w:ascii="Times New Roman" w:hAnsi="Times New Roman"/>
          <w:spacing w:val="-2"/>
          <w:sz w:val="13"/>
          <w:szCs w:val="13"/>
        </w:rPr>
        <w:t>-ten</w:t>
      </w:r>
      <w:r w:rsidR="00D87011" w:rsidRPr="008556DE">
        <w:rPr>
          <w:rFonts w:ascii="Times New Roman" w:hAnsi="Times New Roman"/>
          <w:spacing w:val="-2"/>
          <w:sz w:val="13"/>
          <w:szCs w:val="13"/>
        </w:rPr>
        <w:t>e</w:t>
      </w:r>
      <w:r w:rsidRPr="008556DE">
        <w:rPr>
          <w:rFonts w:ascii="Times New Roman" w:hAnsi="Times New Roman"/>
          <w:spacing w:val="-2"/>
          <w:sz w:val="13"/>
          <w:szCs w:val="13"/>
        </w:rPr>
        <w:t xml:space="preserve">tur-Grundsatzes bei verdeckten Ermittlungen, JA 2007, 903; </w:t>
      </w:r>
      <w:proofErr w:type="spellStart"/>
      <w:r w:rsidR="00077635" w:rsidRPr="008556DE">
        <w:rPr>
          <w:rFonts w:ascii="Times New Roman" w:hAnsi="Times New Roman"/>
          <w:i/>
          <w:spacing w:val="-2"/>
          <w:sz w:val="13"/>
          <w:szCs w:val="13"/>
        </w:rPr>
        <w:t>ders</w:t>
      </w:r>
      <w:proofErr w:type="spellEnd"/>
      <w:r w:rsidR="00077635" w:rsidRPr="008556DE">
        <w:rPr>
          <w:rFonts w:ascii="Times New Roman" w:hAnsi="Times New Roman"/>
          <w:i/>
          <w:spacing w:val="-2"/>
          <w:sz w:val="13"/>
          <w:szCs w:val="13"/>
        </w:rPr>
        <w:t>.</w:t>
      </w:r>
      <w:r w:rsidR="00077635" w:rsidRPr="008556DE">
        <w:rPr>
          <w:rFonts w:ascii="Times New Roman" w:hAnsi="Times New Roman"/>
          <w:spacing w:val="-2"/>
          <w:sz w:val="13"/>
          <w:szCs w:val="13"/>
        </w:rPr>
        <w:t xml:space="preserve">, Beschuldigter oder verdächtiger Zeuge – Rollenzuweisung durch die Strafverfolgungsbehörden, JA 2020, 36; </w:t>
      </w:r>
      <w:r w:rsidRPr="008556DE">
        <w:rPr>
          <w:rFonts w:ascii="Times New Roman" w:hAnsi="Times New Roman"/>
          <w:i/>
          <w:spacing w:val="-2"/>
          <w:sz w:val="13"/>
          <w:szCs w:val="13"/>
        </w:rPr>
        <w:t>Deiters</w:t>
      </w:r>
      <w:r w:rsidRPr="008556DE">
        <w:rPr>
          <w:rFonts w:ascii="Times New Roman" w:hAnsi="Times New Roman"/>
          <w:spacing w:val="-2"/>
          <w:sz w:val="13"/>
          <w:szCs w:val="13"/>
        </w:rPr>
        <w:t>, Zur Begründung der Beschuldigteneigenschaft durch die Art und Weise einer Vernehmung, ZIS 2008, 93;</w:t>
      </w:r>
      <w:r w:rsidR="00CE216C" w:rsidRPr="008556DE">
        <w:rPr>
          <w:rFonts w:ascii="Arial" w:hAnsi="Arial" w:cs="Times New Roman"/>
          <w:bCs/>
          <w:i/>
          <w:spacing w:val="-2"/>
          <w:sz w:val="13"/>
          <w:szCs w:val="13"/>
        </w:rPr>
        <w:t xml:space="preserve"> </w:t>
      </w:r>
      <w:proofErr w:type="spellStart"/>
      <w:r w:rsidR="009B75F5" w:rsidRPr="008556DE">
        <w:rPr>
          <w:rFonts w:ascii="Times New Roman" w:hAnsi="Times New Roman" w:cs="Times New Roman"/>
          <w:bCs/>
          <w:i/>
          <w:spacing w:val="-2"/>
          <w:sz w:val="13"/>
          <w:szCs w:val="13"/>
        </w:rPr>
        <w:t>Eickert</w:t>
      </w:r>
      <w:proofErr w:type="spellEnd"/>
      <w:r w:rsidR="009B75F5" w:rsidRPr="008556DE">
        <w:rPr>
          <w:rFonts w:ascii="Times New Roman" w:hAnsi="Times New Roman" w:cs="Times New Roman"/>
          <w:bCs/>
          <w:i/>
          <w:spacing w:val="-2"/>
          <w:sz w:val="13"/>
          <w:szCs w:val="13"/>
        </w:rPr>
        <w:t xml:space="preserve">, </w:t>
      </w:r>
      <w:r w:rsidR="009B75F5" w:rsidRPr="008556DE">
        <w:rPr>
          <w:rFonts w:ascii="Times New Roman" w:hAnsi="Times New Roman" w:cs="Times New Roman"/>
          <w:bCs/>
          <w:iCs/>
          <w:spacing w:val="-2"/>
          <w:sz w:val="13"/>
          <w:szCs w:val="13"/>
        </w:rPr>
        <w:t xml:space="preserve">Was tun, wenn der Angeklagte schweigt? Zur Verwertbarkeit früherer Äußerungen des Angeklagten im Strafprozess, JA 2023, 327; </w:t>
      </w:r>
      <w:r w:rsidR="00CE216C" w:rsidRPr="008556DE">
        <w:rPr>
          <w:rFonts w:ascii="Times New Roman" w:hAnsi="Times New Roman"/>
          <w:bCs/>
          <w:i/>
          <w:spacing w:val="-2"/>
          <w:sz w:val="13"/>
          <w:szCs w:val="13"/>
        </w:rPr>
        <w:t>Geppert</w:t>
      </w:r>
      <w:r w:rsidR="00CE216C" w:rsidRPr="008556DE">
        <w:rPr>
          <w:rFonts w:ascii="Times New Roman" w:hAnsi="Times New Roman"/>
          <w:bCs/>
          <w:spacing w:val="-2"/>
          <w:sz w:val="13"/>
          <w:szCs w:val="13"/>
        </w:rPr>
        <w:t xml:space="preserve">, Zur Belehrungspflicht über die Freiwilligkeit der Mitwirkung an einer Atemalkoholmessung und zu den Folgen ihrer Verletzung, NStZ 2014, 481; </w:t>
      </w:r>
      <w:r w:rsidRPr="008556DE">
        <w:rPr>
          <w:rFonts w:ascii="Times New Roman" w:hAnsi="Times New Roman"/>
          <w:i/>
          <w:spacing w:val="-2"/>
          <w:sz w:val="13"/>
          <w:szCs w:val="13"/>
        </w:rPr>
        <w:t>v.</w:t>
      </w:r>
      <w:r w:rsidR="00E94579" w:rsidRPr="008556DE">
        <w:rPr>
          <w:rFonts w:ascii="Times New Roman" w:hAnsi="Times New Roman"/>
          <w:i/>
          <w:spacing w:val="-2"/>
          <w:sz w:val="13"/>
          <w:szCs w:val="13"/>
        </w:rPr>
        <w:t> </w:t>
      </w:r>
      <w:proofErr w:type="spellStart"/>
      <w:r w:rsidRPr="008556DE">
        <w:rPr>
          <w:rFonts w:ascii="Times New Roman" w:hAnsi="Times New Roman"/>
          <w:i/>
          <w:spacing w:val="-2"/>
          <w:sz w:val="13"/>
          <w:szCs w:val="13"/>
        </w:rPr>
        <w:t>Heintschel-Heinegg</w:t>
      </w:r>
      <w:proofErr w:type="spellEnd"/>
      <w:r w:rsidRPr="008556DE">
        <w:rPr>
          <w:rFonts w:ascii="Times New Roman" w:hAnsi="Times New Roman"/>
          <w:spacing w:val="-2"/>
          <w:sz w:val="13"/>
          <w:szCs w:val="13"/>
        </w:rPr>
        <w:t xml:space="preserve">, Beschuldigteneigenschaft und Belehrungspflicht, JA 2008, 151; </w:t>
      </w:r>
      <w:r w:rsidRPr="008556DE">
        <w:rPr>
          <w:rFonts w:ascii="Times New Roman" w:hAnsi="Times New Roman"/>
          <w:i/>
          <w:spacing w:val="-2"/>
          <w:sz w:val="13"/>
          <w:szCs w:val="13"/>
        </w:rPr>
        <w:t>Jahn</w:t>
      </w:r>
      <w:r w:rsidRPr="008556DE">
        <w:rPr>
          <w:rFonts w:ascii="Times New Roman" w:hAnsi="Times New Roman"/>
          <w:spacing w:val="-2"/>
          <w:sz w:val="13"/>
          <w:szCs w:val="13"/>
        </w:rPr>
        <w:t xml:space="preserve">, Erste Vernehmung des Beschuldigten ohne Hinzuziehung eines Verteidigers und Hinweis der Polizeibeamten auf einen bestehenden Anwaltsnotdienst, </w:t>
      </w:r>
      <w:proofErr w:type="spellStart"/>
      <w:r w:rsidRPr="008556DE">
        <w:rPr>
          <w:rFonts w:ascii="Times New Roman" w:hAnsi="Times New Roman"/>
          <w:spacing w:val="-2"/>
          <w:sz w:val="13"/>
          <w:szCs w:val="13"/>
        </w:rPr>
        <w:t>JuS</w:t>
      </w:r>
      <w:proofErr w:type="spellEnd"/>
      <w:r w:rsidRPr="008556DE">
        <w:rPr>
          <w:rFonts w:ascii="Times New Roman" w:hAnsi="Times New Roman"/>
          <w:spacing w:val="-2"/>
          <w:sz w:val="13"/>
          <w:szCs w:val="13"/>
        </w:rPr>
        <w:t xml:space="preserve"> 2006, 272; </w:t>
      </w:r>
      <w:proofErr w:type="spellStart"/>
      <w:r w:rsidRPr="008556DE">
        <w:rPr>
          <w:rFonts w:ascii="Times New Roman" w:hAnsi="Times New Roman"/>
          <w:i/>
          <w:spacing w:val="-2"/>
          <w:sz w:val="13"/>
          <w:szCs w:val="13"/>
        </w:rPr>
        <w:t>ders</w:t>
      </w:r>
      <w:proofErr w:type="spellEnd"/>
      <w:r w:rsidRPr="008556DE">
        <w:rPr>
          <w:rFonts w:ascii="Times New Roman" w:hAnsi="Times New Roman"/>
          <w:i/>
          <w:spacing w:val="-2"/>
          <w:sz w:val="13"/>
          <w:szCs w:val="13"/>
        </w:rPr>
        <w:t>.</w:t>
      </w:r>
      <w:r w:rsidRPr="008556DE">
        <w:rPr>
          <w:rFonts w:ascii="Times New Roman" w:hAnsi="Times New Roman"/>
          <w:spacing w:val="-2"/>
          <w:sz w:val="13"/>
          <w:szCs w:val="13"/>
        </w:rPr>
        <w:t xml:space="preserve">, Verstoß gegen Selbstbelastungsfreiheit durch Verdeckten Ermittler, </w:t>
      </w:r>
      <w:proofErr w:type="spellStart"/>
      <w:r w:rsidRPr="008556DE">
        <w:rPr>
          <w:rFonts w:ascii="Times New Roman" w:hAnsi="Times New Roman"/>
          <w:spacing w:val="-2"/>
          <w:sz w:val="13"/>
          <w:szCs w:val="13"/>
        </w:rPr>
        <w:t>JuS</w:t>
      </w:r>
      <w:proofErr w:type="spellEnd"/>
      <w:r w:rsidRPr="008556DE">
        <w:rPr>
          <w:rFonts w:ascii="Times New Roman" w:hAnsi="Times New Roman"/>
          <w:spacing w:val="-2"/>
          <w:sz w:val="13"/>
          <w:szCs w:val="13"/>
        </w:rPr>
        <w:t xml:space="preserve"> 2007, 1146; </w:t>
      </w:r>
      <w:proofErr w:type="spellStart"/>
      <w:r w:rsidR="00721FAB" w:rsidRPr="008556DE">
        <w:rPr>
          <w:rFonts w:ascii="Times New Roman" w:hAnsi="Times New Roman"/>
          <w:i/>
          <w:spacing w:val="-2"/>
          <w:sz w:val="13"/>
          <w:szCs w:val="13"/>
        </w:rPr>
        <w:t>ders</w:t>
      </w:r>
      <w:proofErr w:type="spellEnd"/>
      <w:r w:rsidR="00721FAB" w:rsidRPr="008556DE">
        <w:rPr>
          <w:rFonts w:ascii="Times New Roman" w:hAnsi="Times New Roman"/>
          <w:i/>
          <w:spacing w:val="-2"/>
          <w:sz w:val="13"/>
          <w:szCs w:val="13"/>
        </w:rPr>
        <w:t>.</w:t>
      </w:r>
      <w:r w:rsidR="00721FAB" w:rsidRPr="008556DE">
        <w:rPr>
          <w:rFonts w:ascii="Times New Roman" w:hAnsi="Times New Roman"/>
          <w:spacing w:val="-2"/>
          <w:sz w:val="13"/>
          <w:szCs w:val="13"/>
        </w:rPr>
        <w:t xml:space="preserve">, Strafprozessrecht: Voraussetzungen eines Beweisverwertungsverbots, </w:t>
      </w:r>
      <w:proofErr w:type="spellStart"/>
      <w:r w:rsidR="00721FAB" w:rsidRPr="008556DE">
        <w:rPr>
          <w:rFonts w:ascii="Times New Roman" w:hAnsi="Times New Roman"/>
          <w:spacing w:val="-2"/>
          <w:sz w:val="13"/>
          <w:szCs w:val="13"/>
        </w:rPr>
        <w:t>JuS</w:t>
      </w:r>
      <w:proofErr w:type="spellEnd"/>
      <w:r w:rsidR="00721FAB" w:rsidRPr="008556DE">
        <w:rPr>
          <w:rFonts w:ascii="Times New Roman" w:hAnsi="Times New Roman"/>
          <w:spacing w:val="-2"/>
          <w:sz w:val="13"/>
          <w:szCs w:val="13"/>
        </w:rPr>
        <w:t xml:space="preserve"> 2012, 85; </w:t>
      </w:r>
      <w:proofErr w:type="spellStart"/>
      <w:r w:rsidR="00C0541D" w:rsidRPr="008556DE">
        <w:rPr>
          <w:rFonts w:ascii="Times New Roman" w:hAnsi="Times New Roman"/>
          <w:i/>
          <w:spacing w:val="-2"/>
          <w:sz w:val="13"/>
          <w:szCs w:val="13"/>
        </w:rPr>
        <w:t>Kasiske</w:t>
      </w:r>
      <w:proofErr w:type="spellEnd"/>
      <w:r w:rsidR="00C0541D" w:rsidRPr="008556DE">
        <w:rPr>
          <w:rFonts w:ascii="Times New Roman" w:hAnsi="Times New Roman"/>
          <w:spacing w:val="-2"/>
          <w:sz w:val="13"/>
          <w:szCs w:val="13"/>
        </w:rPr>
        <w:t xml:space="preserve">, Die Selbstbelastungsfreiheit im Strafprozess, </w:t>
      </w:r>
      <w:proofErr w:type="spellStart"/>
      <w:r w:rsidR="00C0541D" w:rsidRPr="008556DE">
        <w:rPr>
          <w:rFonts w:ascii="Times New Roman" w:hAnsi="Times New Roman"/>
          <w:spacing w:val="-2"/>
          <w:sz w:val="13"/>
          <w:szCs w:val="13"/>
        </w:rPr>
        <w:t>JuS</w:t>
      </w:r>
      <w:proofErr w:type="spellEnd"/>
      <w:r w:rsidR="00C0541D" w:rsidRPr="008556DE">
        <w:rPr>
          <w:rFonts w:ascii="Times New Roman" w:hAnsi="Times New Roman"/>
          <w:spacing w:val="-2"/>
          <w:sz w:val="13"/>
          <w:szCs w:val="13"/>
        </w:rPr>
        <w:t xml:space="preserve"> 2014, 15; </w:t>
      </w:r>
      <w:r w:rsidRPr="008556DE">
        <w:rPr>
          <w:rFonts w:ascii="Times New Roman" w:hAnsi="Times New Roman"/>
          <w:i/>
          <w:spacing w:val="-2"/>
          <w:sz w:val="13"/>
          <w:szCs w:val="13"/>
        </w:rPr>
        <w:t>Koch</w:t>
      </w:r>
      <w:r w:rsidRPr="008556DE">
        <w:rPr>
          <w:rFonts w:ascii="Times New Roman" w:hAnsi="Times New Roman"/>
          <w:spacing w:val="-2"/>
          <w:sz w:val="13"/>
          <w:szCs w:val="13"/>
        </w:rPr>
        <w:t xml:space="preserve">, Informatorische Befragungen im Strafverfahren, JA 2004, 558; </w:t>
      </w:r>
      <w:r w:rsidR="00F05F58" w:rsidRPr="008556DE">
        <w:rPr>
          <w:rFonts w:ascii="Times New Roman" w:hAnsi="Times New Roman"/>
          <w:i/>
          <w:spacing w:val="-2"/>
          <w:sz w:val="13"/>
          <w:szCs w:val="13"/>
        </w:rPr>
        <w:t>Kudlich</w:t>
      </w:r>
      <w:r w:rsidR="00F05F58" w:rsidRPr="008556DE">
        <w:rPr>
          <w:rFonts w:ascii="Times New Roman" w:hAnsi="Times New Roman"/>
          <w:spacing w:val="-2"/>
          <w:sz w:val="13"/>
          <w:szCs w:val="13"/>
        </w:rPr>
        <w:t xml:space="preserve">, </w:t>
      </w:r>
      <w:r w:rsidR="00CE216C" w:rsidRPr="008556DE">
        <w:rPr>
          <w:rFonts w:ascii="Times New Roman" w:hAnsi="Times New Roman"/>
          <w:bCs/>
          <w:spacing w:val="-2"/>
          <w:sz w:val="13"/>
          <w:szCs w:val="13"/>
        </w:rPr>
        <w:t xml:space="preserve">„Kann man das nicht eher sagen?“, JA 2016, 73; </w:t>
      </w:r>
      <w:proofErr w:type="spellStart"/>
      <w:r w:rsidRPr="008556DE">
        <w:rPr>
          <w:rFonts w:ascii="Times New Roman" w:hAnsi="Times New Roman"/>
          <w:i/>
          <w:spacing w:val="-2"/>
          <w:sz w:val="13"/>
          <w:szCs w:val="13"/>
        </w:rPr>
        <w:t>Soiné</w:t>
      </w:r>
      <w:proofErr w:type="spellEnd"/>
      <w:r w:rsidRPr="008556DE">
        <w:rPr>
          <w:rFonts w:ascii="Times New Roman" w:hAnsi="Times New Roman"/>
          <w:spacing w:val="-2"/>
          <w:sz w:val="13"/>
          <w:szCs w:val="13"/>
        </w:rPr>
        <w:t>, Kriminalistische List im Ermittlungsverfahren, NStZ 2010, 596</w:t>
      </w:r>
      <w:r w:rsidR="00CE216C" w:rsidRPr="008556DE">
        <w:rPr>
          <w:rFonts w:ascii="Times New Roman" w:hAnsi="Times New Roman"/>
          <w:spacing w:val="-2"/>
          <w:sz w:val="13"/>
          <w:szCs w:val="13"/>
        </w:rPr>
        <w:t>.</w:t>
      </w:r>
    </w:p>
    <w:p w14:paraId="2D1392FD" w14:textId="77777777" w:rsidR="007567D4" w:rsidRPr="008556DE" w:rsidRDefault="007567D4" w:rsidP="008556DE">
      <w:pPr>
        <w:widowControl/>
        <w:tabs>
          <w:tab w:val="left" w:pos="-720"/>
          <w:tab w:val="left" w:pos="288"/>
          <w:tab w:val="left" w:pos="567"/>
          <w:tab w:val="left" w:pos="864"/>
          <w:tab w:val="left" w:pos="1116"/>
          <w:tab w:val="left" w:pos="1404"/>
          <w:tab w:val="left" w:pos="1692"/>
          <w:tab w:val="left" w:pos="1980"/>
          <w:tab w:val="left" w:pos="2268"/>
          <w:tab w:val="left" w:pos="2880"/>
        </w:tabs>
        <w:ind w:left="1980" w:hanging="1980"/>
        <w:jc w:val="both"/>
        <w:rPr>
          <w:rFonts w:ascii="Times New Roman" w:hAnsi="Times New Roman"/>
          <w:spacing w:val="-2"/>
          <w:sz w:val="13"/>
          <w:szCs w:val="13"/>
        </w:rPr>
      </w:pPr>
      <w:r w:rsidRPr="008556DE">
        <w:rPr>
          <w:rFonts w:ascii="Times New Roman" w:hAnsi="Times New Roman"/>
          <w:b/>
          <w:spacing w:val="-2"/>
          <w:sz w:val="13"/>
          <w:szCs w:val="13"/>
        </w:rPr>
        <w:t>Literatur/Fälle:</w:t>
      </w:r>
      <w:r w:rsidRPr="008556DE">
        <w:rPr>
          <w:rFonts w:ascii="Times New Roman" w:hAnsi="Times New Roman"/>
          <w:b/>
          <w:spacing w:val="-2"/>
          <w:sz w:val="13"/>
          <w:szCs w:val="13"/>
        </w:rPr>
        <w:tab/>
      </w:r>
      <w:r w:rsidRPr="008556DE">
        <w:rPr>
          <w:rFonts w:ascii="Times New Roman" w:hAnsi="Times New Roman"/>
          <w:b/>
          <w:spacing w:val="-2"/>
          <w:sz w:val="13"/>
          <w:szCs w:val="13"/>
        </w:rPr>
        <w:tab/>
      </w:r>
      <w:r w:rsidRPr="008556DE">
        <w:rPr>
          <w:rFonts w:ascii="Times New Roman" w:hAnsi="Times New Roman"/>
          <w:b/>
          <w:spacing w:val="-2"/>
          <w:sz w:val="13"/>
          <w:szCs w:val="13"/>
        </w:rPr>
        <w:tab/>
      </w:r>
      <w:r w:rsidRPr="008556DE">
        <w:rPr>
          <w:rFonts w:ascii="Times New Roman" w:hAnsi="Times New Roman"/>
          <w:i/>
          <w:spacing w:val="-2"/>
          <w:sz w:val="13"/>
          <w:szCs w:val="13"/>
        </w:rPr>
        <w:t>Mitsch</w:t>
      </w:r>
      <w:r w:rsidRPr="008556DE">
        <w:rPr>
          <w:rFonts w:ascii="Times New Roman" w:hAnsi="Times New Roman"/>
          <w:spacing w:val="-2"/>
          <w:sz w:val="13"/>
          <w:szCs w:val="13"/>
        </w:rPr>
        <w:t>, Tod auf Mallorca – Verwertungsverbot wegen unzulässiger verdeckter Ermittlungsmethoden, JURA 2008, 211</w:t>
      </w:r>
      <w:r w:rsidRPr="008556DE">
        <w:rPr>
          <w:rFonts w:ascii="Times New Roman" w:hAnsi="Times New Roman"/>
          <w:i/>
          <w:spacing w:val="-2"/>
          <w:sz w:val="13"/>
          <w:szCs w:val="13"/>
        </w:rPr>
        <w:t>.</w:t>
      </w:r>
    </w:p>
    <w:p w14:paraId="62FAAD88" w14:textId="291BAFA0" w:rsidR="007567D4" w:rsidRPr="008556DE" w:rsidRDefault="007567D4" w:rsidP="008556DE">
      <w:pPr>
        <w:widowControl/>
        <w:tabs>
          <w:tab w:val="left" w:pos="-720"/>
          <w:tab w:val="left" w:pos="288"/>
          <w:tab w:val="left" w:pos="567"/>
          <w:tab w:val="left" w:pos="864"/>
          <w:tab w:val="left" w:pos="1116"/>
          <w:tab w:val="left" w:pos="1404"/>
          <w:tab w:val="left" w:pos="1692"/>
          <w:tab w:val="left" w:pos="1980"/>
          <w:tab w:val="left" w:pos="2268"/>
          <w:tab w:val="left" w:pos="2880"/>
        </w:tabs>
        <w:ind w:left="1400" w:hanging="1400"/>
        <w:jc w:val="both"/>
        <w:rPr>
          <w:rFonts w:ascii="Times New Roman" w:hAnsi="Times New Roman"/>
          <w:sz w:val="13"/>
          <w:szCs w:val="13"/>
        </w:rPr>
      </w:pPr>
      <w:r w:rsidRPr="008556DE">
        <w:rPr>
          <w:rFonts w:ascii="Times New Roman" w:hAnsi="Times New Roman"/>
          <w:b/>
          <w:spacing w:val="-2"/>
          <w:sz w:val="13"/>
          <w:szCs w:val="13"/>
        </w:rPr>
        <w:t xml:space="preserve">Rechtsprechung: </w:t>
      </w:r>
      <w:r w:rsidRPr="008556DE">
        <w:rPr>
          <w:rFonts w:ascii="Times New Roman" w:hAnsi="Times New Roman"/>
          <w:b/>
          <w:spacing w:val="-2"/>
          <w:sz w:val="13"/>
          <w:szCs w:val="13"/>
        </w:rPr>
        <w:tab/>
      </w:r>
      <w:r w:rsidRPr="008556DE">
        <w:rPr>
          <w:rFonts w:ascii="Times New Roman" w:hAnsi="Times New Roman"/>
          <w:b/>
          <w:spacing w:val="-2"/>
          <w:sz w:val="13"/>
          <w:szCs w:val="13"/>
        </w:rPr>
        <w:tab/>
      </w:r>
      <w:r w:rsidR="00CE216C" w:rsidRPr="008556DE">
        <w:rPr>
          <w:rFonts w:ascii="Times New Roman" w:hAnsi="Times New Roman"/>
          <w:b/>
          <w:bCs/>
          <w:spacing w:val="-2"/>
          <w:sz w:val="13"/>
          <w:szCs w:val="13"/>
        </w:rPr>
        <w:t xml:space="preserve">BGHSt 42, 15 – </w:t>
      </w:r>
      <w:r w:rsidR="00CE216C" w:rsidRPr="008556DE">
        <w:rPr>
          <w:rFonts w:ascii="Times New Roman" w:hAnsi="Times New Roman"/>
          <w:bCs/>
          <w:spacing w:val="-2"/>
          <w:sz w:val="13"/>
          <w:szCs w:val="13"/>
        </w:rPr>
        <w:t>Verteidigerkonsultation I (Überlassen eines Branchentelefonbuchs genügt nicht für ernsthaftes Bemühen der Polizei und wirksamen Verzicht auf Rechtsbeistand);</w:t>
      </w:r>
      <w:r w:rsidR="00CE216C" w:rsidRPr="008556DE">
        <w:rPr>
          <w:rFonts w:ascii="Times New Roman" w:hAnsi="Times New Roman"/>
          <w:b/>
          <w:bCs/>
          <w:spacing w:val="-2"/>
          <w:sz w:val="13"/>
          <w:szCs w:val="13"/>
        </w:rPr>
        <w:t xml:space="preserve"> BGHSt 47, 172 – </w:t>
      </w:r>
      <w:r w:rsidR="00CE216C" w:rsidRPr="008556DE">
        <w:rPr>
          <w:rFonts w:ascii="Times New Roman" w:hAnsi="Times New Roman"/>
          <w:bCs/>
          <w:spacing w:val="-2"/>
          <w:sz w:val="13"/>
          <w:szCs w:val="13"/>
        </w:rPr>
        <w:t>Verteidigerkonsultation II (</w:t>
      </w:r>
      <w:r w:rsidR="00EA28E3" w:rsidRPr="008556DE">
        <w:rPr>
          <w:rFonts w:ascii="Times New Roman" w:hAnsi="Times New Roman"/>
          <w:bCs/>
          <w:spacing w:val="-2"/>
          <w:sz w:val="13"/>
          <w:szCs w:val="13"/>
        </w:rPr>
        <w:t xml:space="preserve">kein </w:t>
      </w:r>
      <w:r w:rsidR="00CE216C" w:rsidRPr="008556DE">
        <w:rPr>
          <w:rFonts w:ascii="Times New Roman" w:hAnsi="Times New Roman"/>
          <w:bCs/>
          <w:spacing w:val="-2"/>
          <w:sz w:val="13"/>
          <w:szCs w:val="13"/>
        </w:rPr>
        <w:t>Verwertungsverbot, wenn Recht bekannt);</w:t>
      </w:r>
      <w:r w:rsidR="00CE216C" w:rsidRPr="008556DE">
        <w:rPr>
          <w:rFonts w:ascii="Times New Roman" w:hAnsi="Times New Roman"/>
          <w:b/>
          <w:bCs/>
          <w:spacing w:val="-2"/>
          <w:sz w:val="13"/>
          <w:szCs w:val="13"/>
        </w:rPr>
        <w:t xml:space="preserve"> BGHSt 47, 233 – </w:t>
      </w:r>
      <w:r w:rsidR="00CE216C" w:rsidRPr="008556DE">
        <w:rPr>
          <w:rFonts w:ascii="Times New Roman" w:hAnsi="Times New Roman"/>
          <w:bCs/>
          <w:spacing w:val="-2"/>
          <w:sz w:val="13"/>
          <w:szCs w:val="13"/>
        </w:rPr>
        <w:t xml:space="preserve">Verteidigerkonsultation III (Pflicht zur Belehrung über Recht auf Verteidiger gebietet nicht, Beschuldigten, der keinen Wunsch auf Zuziehung eines Verteidigers äußert, auf vorhandenen anwaltlichen Notdienst hinzuweisen); </w:t>
      </w:r>
      <w:r w:rsidRPr="008556DE">
        <w:rPr>
          <w:rFonts w:ascii="Times New Roman" w:hAnsi="Times New Roman"/>
          <w:b/>
          <w:spacing w:val="-2"/>
          <w:sz w:val="13"/>
          <w:szCs w:val="13"/>
        </w:rPr>
        <w:t xml:space="preserve">BGHSt 50, 272 – </w:t>
      </w:r>
      <w:r w:rsidRPr="008556DE">
        <w:rPr>
          <w:rFonts w:ascii="Times New Roman" w:hAnsi="Times New Roman"/>
          <w:spacing w:val="-2"/>
          <w:sz w:val="13"/>
          <w:szCs w:val="13"/>
        </w:rPr>
        <w:t>Rügepräklusion</w:t>
      </w:r>
      <w:r w:rsidRPr="008556DE">
        <w:rPr>
          <w:rFonts w:ascii="Times New Roman" w:hAnsi="Times New Roman"/>
          <w:b/>
          <w:spacing w:val="-2"/>
          <w:sz w:val="13"/>
          <w:szCs w:val="13"/>
        </w:rPr>
        <w:t xml:space="preserve"> (</w:t>
      </w:r>
      <w:r w:rsidRPr="008556DE">
        <w:rPr>
          <w:rFonts w:ascii="Times New Roman" w:hAnsi="Times New Roman"/>
          <w:spacing w:val="-2"/>
          <w:sz w:val="13"/>
          <w:szCs w:val="13"/>
        </w:rPr>
        <w:t xml:space="preserve">Notwendigkeit des Verteidigerwiderspruchs in der Hauptverhandlung für Geltendmachung eine Verfahrensverstoßes in der Revision); </w:t>
      </w:r>
      <w:r w:rsidRPr="008556DE">
        <w:rPr>
          <w:rFonts w:ascii="Times New Roman" w:hAnsi="Times New Roman"/>
          <w:b/>
          <w:spacing w:val="-2"/>
          <w:sz w:val="13"/>
          <w:szCs w:val="13"/>
        </w:rPr>
        <w:t xml:space="preserve">BGHSt 53, 112 – </w:t>
      </w:r>
      <w:r w:rsidRPr="008556DE">
        <w:rPr>
          <w:rFonts w:ascii="Times New Roman" w:hAnsi="Times New Roman"/>
          <w:spacing w:val="-2"/>
          <w:sz w:val="13"/>
          <w:szCs w:val="13"/>
        </w:rPr>
        <w:t xml:space="preserve">Qualifizierte Belehrung (Verwertbarkeit der Angaben des zunächst als Zeugen vernommenen Angeklagten nach Abwägung im Einzelfall); </w:t>
      </w:r>
      <w:r w:rsidR="00C4534E" w:rsidRPr="008556DE">
        <w:rPr>
          <w:rFonts w:ascii="Times New Roman" w:hAnsi="Times New Roman"/>
          <w:b/>
          <w:spacing w:val="-2"/>
          <w:sz w:val="13"/>
          <w:szCs w:val="13"/>
        </w:rPr>
        <w:t>BGHSt 53, 191</w:t>
      </w:r>
      <w:r w:rsidR="00C4534E" w:rsidRPr="008556DE">
        <w:rPr>
          <w:rFonts w:ascii="Times New Roman" w:hAnsi="Times New Roman"/>
          <w:spacing w:val="-2"/>
          <w:sz w:val="13"/>
          <w:szCs w:val="13"/>
        </w:rPr>
        <w:t xml:space="preserve"> – Mitbeschuldigter (Vernehmung ohne Benachrichtigung des Verteidigers); </w:t>
      </w:r>
      <w:r w:rsidR="00685BB5" w:rsidRPr="008556DE">
        <w:rPr>
          <w:rFonts w:ascii="Times New Roman" w:hAnsi="Times New Roman"/>
          <w:b/>
          <w:spacing w:val="-2"/>
          <w:sz w:val="13"/>
          <w:szCs w:val="13"/>
        </w:rPr>
        <w:t>BGHSt 58, 301</w:t>
      </w:r>
      <w:r w:rsidR="00685BB5" w:rsidRPr="008556DE">
        <w:rPr>
          <w:rFonts w:ascii="Times New Roman" w:hAnsi="Times New Roman"/>
          <w:spacing w:val="-2"/>
          <w:sz w:val="13"/>
          <w:szCs w:val="13"/>
        </w:rPr>
        <w:t xml:space="preserve"> – Selbstbelastungsfreiheit (Spontanäußerungen nach Gebrauch vom Schweigerecht);</w:t>
      </w:r>
      <w:r w:rsidR="00CE216C" w:rsidRPr="008556DE">
        <w:rPr>
          <w:rFonts w:ascii="Arial" w:hAnsi="Arial" w:cs="Times New Roman"/>
          <w:b/>
          <w:bCs/>
          <w:spacing w:val="-2"/>
          <w:sz w:val="13"/>
          <w:szCs w:val="13"/>
        </w:rPr>
        <w:t xml:space="preserve"> </w:t>
      </w:r>
      <w:r w:rsidR="00CE216C" w:rsidRPr="008556DE">
        <w:rPr>
          <w:rFonts w:ascii="Times New Roman" w:hAnsi="Times New Roman"/>
          <w:b/>
          <w:bCs/>
          <w:spacing w:val="-2"/>
          <w:sz w:val="13"/>
          <w:szCs w:val="13"/>
        </w:rPr>
        <w:t>BGHSt 60, 50</w:t>
      </w:r>
      <w:r w:rsidR="00CE216C" w:rsidRPr="008556DE">
        <w:rPr>
          <w:rFonts w:ascii="Times New Roman" w:hAnsi="Times New Roman"/>
          <w:bCs/>
          <w:spacing w:val="-2"/>
          <w:sz w:val="13"/>
          <w:szCs w:val="13"/>
        </w:rPr>
        <w:t xml:space="preserve"> – Verbotene Vernehmungsmethoden im Ermittlungsverfahren (Unverwertbarkeit eines Geständnisses im Zustand seelischer und körperlicher Erschöpfung); </w:t>
      </w:r>
      <w:r w:rsidR="009160D0" w:rsidRPr="008556DE">
        <w:rPr>
          <w:rFonts w:ascii="Times New Roman" w:hAnsi="Times New Roman"/>
          <w:b/>
          <w:bCs/>
          <w:spacing w:val="-2"/>
          <w:sz w:val="13"/>
          <w:szCs w:val="13"/>
        </w:rPr>
        <w:t>BGHSt 64, 89</w:t>
      </w:r>
      <w:r w:rsidR="009160D0" w:rsidRPr="008556DE">
        <w:rPr>
          <w:rFonts w:ascii="Times New Roman" w:hAnsi="Times New Roman"/>
          <w:bCs/>
          <w:spacing w:val="-2"/>
          <w:sz w:val="13"/>
          <w:szCs w:val="13"/>
        </w:rPr>
        <w:t xml:space="preserve"> – Beschuldigteneigenschaft (zur Begründung der Beschuldigteneigenschaft durch die Stärke des Tatverdachts); </w:t>
      </w:r>
      <w:r w:rsidRPr="008556DE">
        <w:rPr>
          <w:rFonts w:ascii="Times New Roman" w:hAnsi="Times New Roman"/>
          <w:b/>
          <w:spacing w:val="-2"/>
          <w:sz w:val="13"/>
          <w:szCs w:val="13"/>
        </w:rPr>
        <w:t>BGH NStZ 2006, 236</w:t>
      </w:r>
      <w:r w:rsidRPr="008556DE">
        <w:rPr>
          <w:rFonts w:ascii="Times New Roman" w:hAnsi="Times New Roman"/>
          <w:spacing w:val="-2"/>
          <w:sz w:val="13"/>
          <w:szCs w:val="13"/>
        </w:rPr>
        <w:t xml:space="preserve"> – Verteidigerkonsultation I (kein Beweisverwertungsverbot bei Unterlassen des Hinweises auf Möglichkeit der kostenlosen Verteidigerkonsultation); </w:t>
      </w:r>
      <w:r w:rsidR="006F4772" w:rsidRPr="008556DE">
        <w:rPr>
          <w:rFonts w:ascii="Times New Roman" w:hAnsi="Times New Roman"/>
          <w:b/>
          <w:spacing w:val="-2"/>
          <w:sz w:val="13"/>
          <w:szCs w:val="13"/>
        </w:rPr>
        <w:t>BGH NStZ-RR 2006, 181</w:t>
      </w:r>
      <w:r w:rsidR="006F4772" w:rsidRPr="008556DE">
        <w:rPr>
          <w:rFonts w:ascii="Times New Roman" w:hAnsi="Times New Roman"/>
          <w:spacing w:val="-2"/>
          <w:sz w:val="13"/>
          <w:szCs w:val="13"/>
        </w:rPr>
        <w:t xml:space="preserve"> – Verteidigerkonsultation II (keine Pflicht zur Verteidigerbestellung bei der ersten Vernehmung); </w:t>
      </w:r>
      <w:r w:rsidRPr="008556DE">
        <w:rPr>
          <w:rFonts w:ascii="Times New Roman" w:hAnsi="Times New Roman"/>
          <w:b/>
          <w:spacing w:val="-2"/>
          <w:sz w:val="13"/>
          <w:szCs w:val="13"/>
        </w:rPr>
        <w:t>BGH NStZ 2009, 702</w:t>
      </w:r>
      <w:r w:rsidRPr="008556DE">
        <w:rPr>
          <w:rFonts w:ascii="Times New Roman" w:hAnsi="Times New Roman"/>
          <w:spacing w:val="-2"/>
          <w:sz w:val="13"/>
          <w:szCs w:val="13"/>
        </w:rPr>
        <w:t xml:space="preserve"> – Spontanäußerung (Qualifizierte Belehrung nach Spontanäußerung)</w:t>
      </w:r>
      <w:r w:rsidR="003E24CB" w:rsidRPr="008556DE">
        <w:rPr>
          <w:rFonts w:ascii="Times New Roman" w:hAnsi="Times New Roman"/>
          <w:spacing w:val="-2"/>
          <w:sz w:val="13"/>
          <w:szCs w:val="13"/>
        </w:rPr>
        <w:t>;</w:t>
      </w:r>
      <w:r w:rsidR="00C464AB" w:rsidRPr="008556DE">
        <w:rPr>
          <w:rFonts w:ascii="Times New Roman" w:hAnsi="Times New Roman"/>
          <w:b/>
          <w:spacing w:val="-2"/>
          <w:sz w:val="13"/>
          <w:szCs w:val="13"/>
        </w:rPr>
        <w:t xml:space="preserve"> </w:t>
      </w:r>
      <w:r w:rsidR="00224355" w:rsidRPr="008556DE">
        <w:rPr>
          <w:rFonts w:ascii="Times New Roman" w:hAnsi="Times New Roman"/>
          <w:b/>
          <w:spacing w:val="-2"/>
          <w:sz w:val="13"/>
          <w:szCs w:val="13"/>
        </w:rPr>
        <w:t>BGH NStZ 2015, 291</w:t>
      </w:r>
      <w:r w:rsidR="00224355" w:rsidRPr="008556DE">
        <w:rPr>
          <w:rFonts w:ascii="Times New Roman" w:hAnsi="Times New Roman"/>
          <w:spacing w:val="-2"/>
          <w:sz w:val="13"/>
          <w:szCs w:val="13"/>
        </w:rPr>
        <w:t xml:space="preserve"> – Begründung der Beschuldigteneigenschaft (Bestehen eines Verdachts und Verfolgungswille als Voraussetzungen der Beschuldigteneigenschaft); </w:t>
      </w:r>
      <w:r w:rsidR="00224355" w:rsidRPr="008556DE">
        <w:rPr>
          <w:rFonts w:ascii="Times New Roman" w:hAnsi="Times New Roman"/>
          <w:b/>
          <w:spacing w:val="-2"/>
          <w:sz w:val="13"/>
          <w:szCs w:val="13"/>
        </w:rPr>
        <w:t>BGH NStZ 2016, 59</w:t>
      </w:r>
      <w:r w:rsidR="00224355" w:rsidRPr="008556DE">
        <w:rPr>
          <w:rFonts w:ascii="Times New Roman" w:hAnsi="Times New Roman"/>
          <w:spacing w:val="-2"/>
          <w:sz w:val="13"/>
          <w:szCs w:val="13"/>
        </w:rPr>
        <w:t xml:space="preserve"> – Würdigung des zeitweisen Schweigens (keine Nachteile durch spä</w:t>
      </w:r>
      <w:r w:rsidR="00FE63CB" w:rsidRPr="008556DE">
        <w:rPr>
          <w:rFonts w:ascii="Times New Roman" w:hAnsi="Times New Roman"/>
          <w:spacing w:val="-2"/>
          <w:sz w:val="13"/>
          <w:szCs w:val="13"/>
        </w:rPr>
        <w:t xml:space="preserve">tere Benennung von Alibizeugen); </w:t>
      </w:r>
      <w:r w:rsidR="006F4772" w:rsidRPr="008556DE">
        <w:rPr>
          <w:rFonts w:ascii="Times New Roman" w:hAnsi="Times New Roman"/>
          <w:b/>
          <w:spacing w:val="-2"/>
          <w:sz w:val="13"/>
          <w:szCs w:val="13"/>
        </w:rPr>
        <w:t>BGH NJW 2018, 1986</w:t>
      </w:r>
      <w:r w:rsidR="006F4772" w:rsidRPr="008556DE">
        <w:rPr>
          <w:rFonts w:ascii="Times New Roman" w:hAnsi="Times New Roman"/>
          <w:spacing w:val="-2"/>
          <w:sz w:val="13"/>
          <w:szCs w:val="13"/>
        </w:rPr>
        <w:t xml:space="preserve"> – Selbstbelastungsfreiheit (Verletzung der Aussagefreiheit durch Verwertung von Angaben bei ärztlicher Untersuchung); </w:t>
      </w:r>
      <w:r w:rsidR="006F4772" w:rsidRPr="008556DE">
        <w:rPr>
          <w:rFonts w:ascii="Times New Roman" w:hAnsi="Times New Roman"/>
          <w:b/>
          <w:spacing w:val="-2"/>
          <w:sz w:val="13"/>
          <w:szCs w:val="13"/>
        </w:rPr>
        <w:t>BGH NStZ-RR 2018, 286</w:t>
      </w:r>
      <w:r w:rsidR="006F4772" w:rsidRPr="008556DE">
        <w:rPr>
          <w:rFonts w:ascii="Times New Roman" w:hAnsi="Times New Roman"/>
          <w:spacing w:val="-2"/>
          <w:sz w:val="13"/>
          <w:szCs w:val="13"/>
        </w:rPr>
        <w:t xml:space="preserve"> – Selbstbelastungsfreiheit (keine nachteilige Wertung des Schweigens des Angeklagten); </w:t>
      </w:r>
      <w:r w:rsidR="00FE63CB" w:rsidRPr="008556DE">
        <w:rPr>
          <w:rFonts w:ascii="Times New Roman" w:hAnsi="Times New Roman"/>
          <w:b/>
          <w:spacing w:val="-2"/>
          <w:sz w:val="13"/>
          <w:szCs w:val="13"/>
        </w:rPr>
        <w:t>BGH NStZ 2019, 227</w:t>
      </w:r>
      <w:r w:rsidR="00FE63CB" w:rsidRPr="008556DE">
        <w:rPr>
          <w:rFonts w:ascii="Times New Roman" w:hAnsi="Times New Roman"/>
          <w:spacing w:val="-2"/>
          <w:sz w:val="13"/>
          <w:szCs w:val="13"/>
        </w:rPr>
        <w:t xml:space="preserve"> – Qualifizierte Belehrung (Notwendigkeit einer qualifizierten Belehrung nach Verstoß gegen § 136 I 2 StPO bei der ersten Beschuldigtenvernehmung)</w:t>
      </w:r>
      <w:r w:rsidR="00781D7B" w:rsidRPr="008556DE">
        <w:rPr>
          <w:rFonts w:ascii="Times New Roman" w:hAnsi="Times New Roman"/>
          <w:spacing w:val="-2"/>
          <w:sz w:val="13"/>
          <w:szCs w:val="13"/>
        </w:rPr>
        <w:t xml:space="preserve">; </w:t>
      </w:r>
      <w:r w:rsidR="00781D7B" w:rsidRPr="008556DE">
        <w:rPr>
          <w:rFonts w:ascii="Times New Roman" w:hAnsi="Times New Roman"/>
          <w:b/>
          <w:bCs/>
          <w:spacing w:val="-2"/>
          <w:sz w:val="13"/>
          <w:szCs w:val="13"/>
        </w:rPr>
        <w:t>BGH NStZ-RR 2024, 124</w:t>
      </w:r>
      <w:r w:rsidR="00781D7B" w:rsidRPr="008556DE">
        <w:rPr>
          <w:rFonts w:ascii="Times New Roman" w:hAnsi="Times New Roman"/>
          <w:spacing w:val="-2"/>
          <w:sz w:val="13"/>
          <w:szCs w:val="13"/>
        </w:rPr>
        <w:t xml:space="preserve"> – Nichtbestellung eines Pflichtverteidigers </w:t>
      </w:r>
      <w:proofErr w:type="spellStart"/>
      <w:r w:rsidR="00781D7B" w:rsidRPr="008556DE">
        <w:rPr>
          <w:rFonts w:ascii="Times New Roman" w:hAnsi="Times New Roman"/>
          <w:spacing w:val="-2"/>
          <w:sz w:val="13"/>
          <w:szCs w:val="13"/>
        </w:rPr>
        <w:t>i.R.e</w:t>
      </w:r>
      <w:proofErr w:type="spellEnd"/>
      <w:r w:rsidR="00781D7B" w:rsidRPr="008556DE">
        <w:rPr>
          <w:rFonts w:ascii="Times New Roman" w:hAnsi="Times New Roman"/>
          <w:spacing w:val="-2"/>
          <w:sz w:val="13"/>
          <w:szCs w:val="13"/>
        </w:rPr>
        <w:t>. polizeilichen Beschuldigtenvernehmung (</w:t>
      </w:r>
      <w:r w:rsidR="001536E2" w:rsidRPr="008556DE">
        <w:rPr>
          <w:rFonts w:ascii="Times New Roman" w:hAnsi="Times New Roman"/>
          <w:spacing w:val="-2"/>
          <w:sz w:val="13"/>
          <w:szCs w:val="13"/>
        </w:rPr>
        <w:t>nicht automatisch Beweisverwertungsverbot).</w:t>
      </w:r>
    </w:p>
    <w:sectPr w:rsidR="007567D4" w:rsidRPr="008556DE" w:rsidSect="007567D4">
      <w:pgSz w:w="11906" w:h="16838"/>
      <w:pgMar w:top="566" w:right="424" w:bottom="142" w:left="1276" w:header="566" w:footer="28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88EF2" w14:textId="77777777" w:rsidR="00931AB9" w:rsidRDefault="00931AB9">
      <w:r>
        <w:separator/>
      </w:r>
    </w:p>
  </w:endnote>
  <w:endnote w:type="continuationSeparator" w:id="0">
    <w:p w14:paraId="7EF84444" w14:textId="77777777" w:rsidR="00931AB9" w:rsidRDefault="00931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681EF" w14:textId="77777777" w:rsidR="00931AB9" w:rsidRDefault="00931AB9">
      <w:r>
        <w:separator/>
      </w:r>
    </w:p>
  </w:footnote>
  <w:footnote w:type="continuationSeparator" w:id="0">
    <w:p w14:paraId="77D2E17A" w14:textId="77777777" w:rsidR="00931AB9" w:rsidRDefault="00931A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4C292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CCB0158C"/>
    <w:lvl w:ilvl="0" w:tplc="EADC7702">
      <w:numFmt w:val="none"/>
      <w:lvlText w:val=""/>
      <w:lvlJc w:val="left"/>
      <w:pPr>
        <w:tabs>
          <w:tab w:val="num" w:pos="360"/>
        </w:tabs>
      </w:pPr>
    </w:lvl>
    <w:lvl w:ilvl="1" w:tplc="1F2C4358">
      <w:numFmt w:val="decimal"/>
      <w:lvlText w:val=""/>
      <w:lvlJc w:val="left"/>
    </w:lvl>
    <w:lvl w:ilvl="2" w:tplc="0FF8FD02">
      <w:numFmt w:val="decimal"/>
      <w:lvlText w:val=""/>
      <w:lvlJc w:val="left"/>
    </w:lvl>
    <w:lvl w:ilvl="3" w:tplc="D624D190">
      <w:numFmt w:val="decimal"/>
      <w:lvlText w:val=""/>
      <w:lvlJc w:val="left"/>
    </w:lvl>
    <w:lvl w:ilvl="4" w:tplc="2F2625B2">
      <w:numFmt w:val="decimal"/>
      <w:lvlText w:val=""/>
      <w:lvlJc w:val="left"/>
    </w:lvl>
    <w:lvl w:ilvl="5" w:tplc="A4026F8A">
      <w:numFmt w:val="decimal"/>
      <w:lvlText w:val=""/>
      <w:lvlJc w:val="left"/>
    </w:lvl>
    <w:lvl w:ilvl="6" w:tplc="6A943E8C">
      <w:numFmt w:val="decimal"/>
      <w:lvlText w:val=""/>
      <w:lvlJc w:val="left"/>
    </w:lvl>
    <w:lvl w:ilvl="7" w:tplc="FA368F1E">
      <w:numFmt w:val="decimal"/>
      <w:lvlText w:val=""/>
      <w:lvlJc w:val="left"/>
    </w:lvl>
    <w:lvl w:ilvl="8" w:tplc="F3E0999E">
      <w:numFmt w:val="decimal"/>
      <w:lvlText w:val=""/>
      <w:lvlJc w:val="left"/>
    </w:lvl>
  </w:abstractNum>
  <w:abstractNum w:abstractNumId="2" w15:restartNumberingAfterBreak="0">
    <w:nsid w:val="214B7019"/>
    <w:multiLevelType w:val="hybridMultilevel"/>
    <w:tmpl w:val="50AADEBE"/>
    <w:lvl w:ilvl="0" w:tplc="E2D29ABE">
      <w:start w:val="1"/>
      <w:numFmt w:val="decimal"/>
      <w:lvlText w:val="%1."/>
      <w:lvlJc w:val="left"/>
      <w:pPr>
        <w:tabs>
          <w:tab w:val="num" w:pos="921"/>
        </w:tabs>
        <w:ind w:left="921" w:hanging="360"/>
      </w:pPr>
      <w:rPr>
        <w:rFonts w:hint="default"/>
        <w:u w:val="single"/>
      </w:rPr>
    </w:lvl>
    <w:lvl w:ilvl="1" w:tplc="00190407" w:tentative="1">
      <w:start w:val="1"/>
      <w:numFmt w:val="lowerLetter"/>
      <w:lvlText w:val="%2."/>
      <w:lvlJc w:val="left"/>
      <w:pPr>
        <w:tabs>
          <w:tab w:val="num" w:pos="1641"/>
        </w:tabs>
        <w:ind w:left="1641" w:hanging="360"/>
      </w:pPr>
    </w:lvl>
    <w:lvl w:ilvl="2" w:tplc="001B0407" w:tentative="1">
      <w:start w:val="1"/>
      <w:numFmt w:val="lowerRoman"/>
      <w:lvlText w:val="%3."/>
      <w:lvlJc w:val="right"/>
      <w:pPr>
        <w:tabs>
          <w:tab w:val="num" w:pos="2361"/>
        </w:tabs>
        <w:ind w:left="2361" w:hanging="180"/>
      </w:pPr>
    </w:lvl>
    <w:lvl w:ilvl="3" w:tplc="000F0407" w:tentative="1">
      <w:start w:val="1"/>
      <w:numFmt w:val="decimal"/>
      <w:lvlText w:val="%4."/>
      <w:lvlJc w:val="left"/>
      <w:pPr>
        <w:tabs>
          <w:tab w:val="num" w:pos="3081"/>
        </w:tabs>
        <w:ind w:left="3081" w:hanging="360"/>
      </w:pPr>
    </w:lvl>
    <w:lvl w:ilvl="4" w:tplc="00190407" w:tentative="1">
      <w:start w:val="1"/>
      <w:numFmt w:val="lowerLetter"/>
      <w:lvlText w:val="%5."/>
      <w:lvlJc w:val="left"/>
      <w:pPr>
        <w:tabs>
          <w:tab w:val="num" w:pos="3801"/>
        </w:tabs>
        <w:ind w:left="3801" w:hanging="360"/>
      </w:pPr>
    </w:lvl>
    <w:lvl w:ilvl="5" w:tplc="001B0407" w:tentative="1">
      <w:start w:val="1"/>
      <w:numFmt w:val="lowerRoman"/>
      <w:lvlText w:val="%6."/>
      <w:lvlJc w:val="right"/>
      <w:pPr>
        <w:tabs>
          <w:tab w:val="num" w:pos="4521"/>
        </w:tabs>
        <w:ind w:left="4521" w:hanging="180"/>
      </w:pPr>
    </w:lvl>
    <w:lvl w:ilvl="6" w:tplc="000F0407" w:tentative="1">
      <w:start w:val="1"/>
      <w:numFmt w:val="decimal"/>
      <w:lvlText w:val="%7."/>
      <w:lvlJc w:val="left"/>
      <w:pPr>
        <w:tabs>
          <w:tab w:val="num" w:pos="5241"/>
        </w:tabs>
        <w:ind w:left="5241" w:hanging="360"/>
      </w:pPr>
    </w:lvl>
    <w:lvl w:ilvl="7" w:tplc="00190407" w:tentative="1">
      <w:start w:val="1"/>
      <w:numFmt w:val="lowerLetter"/>
      <w:lvlText w:val="%8."/>
      <w:lvlJc w:val="left"/>
      <w:pPr>
        <w:tabs>
          <w:tab w:val="num" w:pos="5961"/>
        </w:tabs>
        <w:ind w:left="5961" w:hanging="360"/>
      </w:pPr>
    </w:lvl>
    <w:lvl w:ilvl="8" w:tplc="001B0407" w:tentative="1">
      <w:start w:val="1"/>
      <w:numFmt w:val="lowerRoman"/>
      <w:lvlText w:val="%9."/>
      <w:lvlJc w:val="right"/>
      <w:pPr>
        <w:tabs>
          <w:tab w:val="num" w:pos="6681"/>
        </w:tabs>
        <w:ind w:left="6681" w:hanging="180"/>
      </w:pPr>
    </w:lvl>
  </w:abstractNum>
  <w:abstractNum w:abstractNumId="3" w15:restartNumberingAfterBreak="0">
    <w:nsid w:val="26C51408"/>
    <w:multiLevelType w:val="hybridMultilevel"/>
    <w:tmpl w:val="F0E2BAAE"/>
    <w:lvl w:ilvl="0" w:tplc="6B46D31C">
      <w:start w:val="2"/>
      <w:numFmt w:val="decimal"/>
      <w:lvlText w:val="%1."/>
      <w:lvlJc w:val="left"/>
      <w:pPr>
        <w:tabs>
          <w:tab w:val="num" w:pos="920"/>
        </w:tabs>
        <w:ind w:left="920" w:hanging="360"/>
      </w:pPr>
      <w:rPr>
        <w:rFonts w:hint="default"/>
      </w:rPr>
    </w:lvl>
    <w:lvl w:ilvl="1" w:tplc="00190407" w:tentative="1">
      <w:start w:val="1"/>
      <w:numFmt w:val="lowerLetter"/>
      <w:lvlText w:val="%2."/>
      <w:lvlJc w:val="left"/>
      <w:pPr>
        <w:tabs>
          <w:tab w:val="num" w:pos="1640"/>
        </w:tabs>
        <w:ind w:left="1640" w:hanging="360"/>
      </w:pPr>
    </w:lvl>
    <w:lvl w:ilvl="2" w:tplc="001B0407" w:tentative="1">
      <w:start w:val="1"/>
      <w:numFmt w:val="lowerRoman"/>
      <w:lvlText w:val="%3."/>
      <w:lvlJc w:val="right"/>
      <w:pPr>
        <w:tabs>
          <w:tab w:val="num" w:pos="2360"/>
        </w:tabs>
        <w:ind w:left="2360" w:hanging="180"/>
      </w:pPr>
    </w:lvl>
    <w:lvl w:ilvl="3" w:tplc="000F0407" w:tentative="1">
      <w:start w:val="1"/>
      <w:numFmt w:val="decimal"/>
      <w:lvlText w:val="%4."/>
      <w:lvlJc w:val="left"/>
      <w:pPr>
        <w:tabs>
          <w:tab w:val="num" w:pos="3080"/>
        </w:tabs>
        <w:ind w:left="3080" w:hanging="360"/>
      </w:pPr>
    </w:lvl>
    <w:lvl w:ilvl="4" w:tplc="00190407" w:tentative="1">
      <w:start w:val="1"/>
      <w:numFmt w:val="lowerLetter"/>
      <w:lvlText w:val="%5."/>
      <w:lvlJc w:val="left"/>
      <w:pPr>
        <w:tabs>
          <w:tab w:val="num" w:pos="3800"/>
        </w:tabs>
        <w:ind w:left="3800" w:hanging="360"/>
      </w:pPr>
    </w:lvl>
    <w:lvl w:ilvl="5" w:tplc="001B0407" w:tentative="1">
      <w:start w:val="1"/>
      <w:numFmt w:val="lowerRoman"/>
      <w:lvlText w:val="%6."/>
      <w:lvlJc w:val="right"/>
      <w:pPr>
        <w:tabs>
          <w:tab w:val="num" w:pos="4520"/>
        </w:tabs>
        <w:ind w:left="4520" w:hanging="180"/>
      </w:pPr>
    </w:lvl>
    <w:lvl w:ilvl="6" w:tplc="000F0407" w:tentative="1">
      <w:start w:val="1"/>
      <w:numFmt w:val="decimal"/>
      <w:lvlText w:val="%7."/>
      <w:lvlJc w:val="left"/>
      <w:pPr>
        <w:tabs>
          <w:tab w:val="num" w:pos="5240"/>
        </w:tabs>
        <w:ind w:left="5240" w:hanging="360"/>
      </w:pPr>
    </w:lvl>
    <w:lvl w:ilvl="7" w:tplc="00190407" w:tentative="1">
      <w:start w:val="1"/>
      <w:numFmt w:val="lowerLetter"/>
      <w:lvlText w:val="%8."/>
      <w:lvlJc w:val="left"/>
      <w:pPr>
        <w:tabs>
          <w:tab w:val="num" w:pos="5960"/>
        </w:tabs>
        <w:ind w:left="5960" w:hanging="360"/>
      </w:pPr>
    </w:lvl>
    <w:lvl w:ilvl="8" w:tplc="001B0407" w:tentative="1">
      <w:start w:val="1"/>
      <w:numFmt w:val="lowerRoman"/>
      <w:lvlText w:val="%9."/>
      <w:lvlJc w:val="right"/>
      <w:pPr>
        <w:tabs>
          <w:tab w:val="num" w:pos="6680"/>
        </w:tabs>
        <w:ind w:left="6680" w:hanging="180"/>
      </w:pPr>
    </w:lvl>
  </w:abstractNum>
  <w:abstractNum w:abstractNumId="4" w15:restartNumberingAfterBreak="0">
    <w:nsid w:val="45953326"/>
    <w:multiLevelType w:val="hybridMultilevel"/>
    <w:tmpl w:val="F85C6CCC"/>
    <w:lvl w:ilvl="0" w:tplc="80A66170">
      <w:start w:val="2"/>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5" w15:restartNumberingAfterBreak="0">
    <w:nsid w:val="534A0D46"/>
    <w:multiLevelType w:val="multilevel"/>
    <w:tmpl w:val="7B3C2B68"/>
    <w:lvl w:ilvl="0">
      <w:start w:val="1"/>
      <w:numFmt w:val="decimal"/>
      <w:lvlText w:val="%1."/>
      <w:lvlJc w:val="left"/>
      <w:pPr>
        <w:tabs>
          <w:tab w:val="num" w:pos="720"/>
        </w:tabs>
        <w:ind w:left="720" w:hanging="360"/>
      </w:pPr>
      <w:rPr>
        <w:rFonts w:hint="default"/>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F79518A"/>
    <w:multiLevelType w:val="hybridMultilevel"/>
    <w:tmpl w:val="7B3C2B68"/>
    <w:lvl w:ilvl="0" w:tplc="CFC6C554">
      <w:start w:val="1"/>
      <w:numFmt w:val="decimal"/>
      <w:lvlText w:val="%1."/>
      <w:lvlJc w:val="left"/>
      <w:pPr>
        <w:tabs>
          <w:tab w:val="num" w:pos="720"/>
        </w:tabs>
        <w:ind w:left="720" w:hanging="360"/>
      </w:pPr>
      <w:rPr>
        <w:rFonts w:hint="default"/>
        <w:u w:val="single"/>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7" w15:restartNumberingAfterBreak="0">
    <w:nsid w:val="72A57741"/>
    <w:multiLevelType w:val="hybridMultilevel"/>
    <w:tmpl w:val="E2A4439A"/>
    <w:lvl w:ilvl="0" w:tplc="000F0407">
      <w:start w:val="2"/>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8" w15:restartNumberingAfterBreak="0">
    <w:nsid w:val="72C70AC4"/>
    <w:multiLevelType w:val="hybridMultilevel"/>
    <w:tmpl w:val="590C8E1E"/>
    <w:lvl w:ilvl="0" w:tplc="B3E80FFC">
      <w:start w:val="2"/>
      <w:numFmt w:val="decimal"/>
      <w:lvlText w:val="%1."/>
      <w:lvlJc w:val="left"/>
      <w:pPr>
        <w:tabs>
          <w:tab w:val="num" w:pos="920"/>
        </w:tabs>
        <w:ind w:left="920" w:hanging="360"/>
      </w:pPr>
      <w:rPr>
        <w:rFonts w:hint="default"/>
      </w:rPr>
    </w:lvl>
    <w:lvl w:ilvl="1" w:tplc="00190407" w:tentative="1">
      <w:start w:val="1"/>
      <w:numFmt w:val="lowerLetter"/>
      <w:lvlText w:val="%2."/>
      <w:lvlJc w:val="left"/>
      <w:pPr>
        <w:tabs>
          <w:tab w:val="num" w:pos="1640"/>
        </w:tabs>
        <w:ind w:left="1640" w:hanging="360"/>
      </w:pPr>
    </w:lvl>
    <w:lvl w:ilvl="2" w:tplc="001B0407" w:tentative="1">
      <w:start w:val="1"/>
      <w:numFmt w:val="lowerRoman"/>
      <w:lvlText w:val="%3."/>
      <w:lvlJc w:val="right"/>
      <w:pPr>
        <w:tabs>
          <w:tab w:val="num" w:pos="2360"/>
        </w:tabs>
        <w:ind w:left="2360" w:hanging="180"/>
      </w:pPr>
    </w:lvl>
    <w:lvl w:ilvl="3" w:tplc="000F0407" w:tentative="1">
      <w:start w:val="1"/>
      <w:numFmt w:val="decimal"/>
      <w:lvlText w:val="%4."/>
      <w:lvlJc w:val="left"/>
      <w:pPr>
        <w:tabs>
          <w:tab w:val="num" w:pos="3080"/>
        </w:tabs>
        <w:ind w:left="3080" w:hanging="360"/>
      </w:pPr>
    </w:lvl>
    <w:lvl w:ilvl="4" w:tplc="00190407" w:tentative="1">
      <w:start w:val="1"/>
      <w:numFmt w:val="lowerLetter"/>
      <w:lvlText w:val="%5."/>
      <w:lvlJc w:val="left"/>
      <w:pPr>
        <w:tabs>
          <w:tab w:val="num" w:pos="3800"/>
        </w:tabs>
        <w:ind w:left="3800" w:hanging="360"/>
      </w:pPr>
    </w:lvl>
    <w:lvl w:ilvl="5" w:tplc="001B0407" w:tentative="1">
      <w:start w:val="1"/>
      <w:numFmt w:val="lowerRoman"/>
      <w:lvlText w:val="%6."/>
      <w:lvlJc w:val="right"/>
      <w:pPr>
        <w:tabs>
          <w:tab w:val="num" w:pos="4520"/>
        </w:tabs>
        <w:ind w:left="4520" w:hanging="180"/>
      </w:pPr>
    </w:lvl>
    <w:lvl w:ilvl="6" w:tplc="000F0407" w:tentative="1">
      <w:start w:val="1"/>
      <w:numFmt w:val="decimal"/>
      <w:lvlText w:val="%7."/>
      <w:lvlJc w:val="left"/>
      <w:pPr>
        <w:tabs>
          <w:tab w:val="num" w:pos="5240"/>
        </w:tabs>
        <w:ind w:left="5240" w:hanging="360"/>
      </w:pPr>
    </w:lvl>
    <w:lvl w:ilvl="7" w:tplc="00190407" w:tentative="1">
      <w:start w:val="1"/>
      <w:numFmt w:val="lowerLetter"/>
      <w:lvlText w:val="%8."/>
      <w:lvlJc w:val="left"/>
      <w:pPr>
        <w:tabs>
          <w:tab w:val="num" w:pos="5960"/>
        </w:tabs>
        <w:ind w:left="5960" w:hanging="360"/>
      </w:pPr>
    </w:lvl>
    <w:lvl w:ilvl="8" w:tplc="001B0407" w:tentative="1">
      <w:start w:val="1"/>
      <w:numFmt w:val="lowerRoman"/>
      <w:lvlText w:val="%9."/>
      <w:lvlJc w:val="right"/>
      <w:pPr>
        <w:tabs>
          <w:tab w:val="num" w:pos="6680"/>
        </w:tabs>
        <w:ind w:left="6680" w:hanging="180"/>
      </w:pPr>
    </w:lvl>
  </w:abstractNum>
  <w:abstractNum w:abstractNumId="9" w15:restartNumberingAfterBreak="0">
    <w:nsid w:val="756D32B1"/>
    <w:multiLevelType w:val="hybridMultilevel"/>
    <w:tmpl w:val="8674B266"/>
    <w:lvl w:ilvl="0" w:tplc="C3866A1A">
      <w:start w:val="1"/>
      <w:numFmt w:val="decimal"/>
      <w:lvlText w:val="%1."/>
      <w:lvlJc w:val="left"/>
      <w:pPr>
        <w:tabs>
          <w:tab w:val="num" w:pos="927"/>
        </w:tabs>
        <w:ind w:left="927" w:hanging="360"/>
      </w:pPr>
      <w:rPr>
        <w:rFonts w:hint="default"/>
        <w:u w:val="single"/>
      </w:rPr>
    </w:lvl>
    <w:lvl w:ilvl="1" w:tplc="00190407" w:tentative="1">
      <w:start w:val="1"/>
      <w:numFmt w:val="lowerLetter"/>
      <w:lvlText w:val="%2."/>
      <w:lvlJc w:val="left"/>
      <w:pPr>
        <w:tabs>
          <w:tab w:val="num" w:pos="1647"/>
        </w:tabs>
        <w:ind w:left="1647" w:hanging="360"/>
      </w:pPr>
    </w:lvl>
    <w:lvl w:ilvl="2" w:tplc="001B0407" w:tentative="1">
      <w:start w:val="1"/>
      <w:numFmt w:val="lowerRoman"/>
      <w:lvlText w:val="%3."/>
      <w:lvlJc w:val="right"/>
      <w:pPr>
        <w:tabs>
          <w:tab w:val="num" w:pos="2367"/>
        </w:tabs>
        <w:ind w:left="2367" w:hanging="180"/>
      </w:pPr>
    </w:lvl>
    <w:lvl w:ilvl="3" w:tplc="000F0407" w:tentative="1">
      <w:start w:val="1"/>
      <w:numFmt w:val="decimal"/>
      <w:lvlText w:val="%4."/>
      <w:lvlJc w:val="left"/>
      <w:pPr>
        <w:tabs>
          <w:tab w:val="num" w:pos="3087"/>
        </w:tabs>
        <w:ind w:left="3087" w:hanging="360"/>
      </w:pPr>
    </w:lvl>
    <w:lvl w:ilvl="4" w:tplc="00190407" w:tentative="1">
      <w:start w:val="1"/>
      <w:numFmt w:val="lowerLetter"/>
      <w:lvlText w:val="%5."/>
      <w:lvlJc w:val="left"/>
      <w:pPr>
        <w:tabs>
          <w:tab w:val="num" w:pos="3807"/>
        </w:tabs>
        <w:ind w:left="3807" w:hanging="360"/>
      </w:pPr>
    </w:lvl>
    <w:lvl w:ilvl="5" w:tplc="001B0407" w:tentative="1">
      <w:start w:val="1"/>
      <w:numFmt w:val="lowerRoman"/>
      <w:lvlText w:val="%6."/>
      <w:lvlJc w:val="right"/>
      <w:pPr>
        <w:tabs>
          <w:tab w:val="num" w:pos="4527"/>
        </w:tabs>
        <w:ind w:left="4527" w:hanging="180"/>
      </w:pPr>
    </w:lvl>
    <w:lvl w:ilvl="6" w:tplc="000F0407" w:tentative="1">
      <w:start w:val="1"/>
      <w:numFmt w:val="decimal"/>
      <w:lvlText w:val="%7."/>
      <w:lvlJc w:val="left"/>
      <w:pPr>
        <w:tabs>
          <w:tab w:val="num" w:pos="5247"/>
        </w:tabs>
        <w:ind w:left="5247" w:hanging="360"/>
      </w:pPr>
    </w:lvl>
    <w:lvl w:ilvl="7" w:tplc="00190407" w:tentative="1">
      <w:start w:val="1"/>
      <w:numFmt w:val="lowerLetter"/>
      <w:lvlText w:val="%8."/>
      <w:lvlJc w:val="left"/>
      <w:pPr>
        <w:tabs>
          <w:tab w:val="num" w:pos="5967"/>
        </w:tabs>
        <w:ind w:left="5967" w:hanging="360"/>
      </w:pPr>
    </w:lvl>
    <w:lvl w:ilvl="8" w:tplc="001B0407" w:tentative="1">
      <w:start w:val="1"/>
      <w:numFmt w:val="lowerRoman"/>
      <w:lvlText w:val="%9."/>
      <w:lvlJc w:val="right"/>
      <w:pPr>
        <w:tabs>
          <w:tab w:val="num" w:pos="6687"/>
        </w:tabs>
        <w:ind w:left="6687" w:hanging="180"/>
      </w:pPr>
    </w:lvl>
  </w:abstractNum>
  <w:num w:numId="1" w16cid:durableId="1421029589">
    <w:abstractNumId w:val="6"/>
  </w:num>
  <w:num w:numId="2" w16cid:durableId="1177157860">
    <w:abstractNumId w:val="5"/>
  </w:num>
  <w:num w:numId="3" w16cid:durableId="1039286343">
    <w:abstractNumId w:val="3"/>
  </w:num>
  <w:num w:numId="4" w16cid:durableId="267936490">
    <w:abstractNumId w:val="8"/>
  </w:num>
  <w:num w:numId="5" w16cid:durableId="1735159062">
    <w:abstractNumId w:val="4"/>
  </w:num>
  <w:num w:numId="6" w16cid:durableId="1349410977">
    <w:abstractNumId w:val="7"/>
  </w:num>
  <w:num w:numId="7" w16cid:durableId="990787446">
    <w:abstractNumId w:val="1"/>
  </w:num>
  <w:num w:numId="8" w16cid:durableId="1507747859">
    <w:abstractNumId w:val="9"/>
  </w:num>
  <w:num w:numId="9" w16cid:durableId="1615819866">
    <w:abstractNumId w:val="2"/>
  </w:num>
  <w:num w:numId="10" w16cid:durableId="605893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activeWritingStyle w:appName="MSWord" w:lang="de-DE" w:vendorID="6" w:dllVersion="2" w:checkStyle="1"/>
  <w:proofState w:spelling="clean" w:grammar="clean"/>
  <w:trackRevisions/>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30"/>
    <w:rsid w:val="000132A2"/>
    <w:rsid w:val="0002200A"/>
    <w:rsid w:val="00031DD2"/>
    <w:rsid w:val="00032537"/>
    <w:rsid w:val="000370B2"/>
    <w:rsid w:val="00037224"/>
    <w:rsid w:val="000540F8"/>
    <w:rsid w:val="00077635"/>
    <w:rsid w:val="000D0C6C"/>
    <w:rsid w:val="000F7F19"/>
    <w:rsid w:val="00133CA1"/>
    <w:rsid w:val="00141D94"/>
    <w:rsid w:val="001536E2"/>
    <w:rsid w:val="00155427"/>
    <w:rsid w:val="00163237"/>
    <w:rsid w:val="00184238"/>
    <w:rsid w:val="00191DEC"/>
    <w:rsid w:val="001B4A73"/>
    <w:rsid w:val="001C20D3"/>
    <w:rsid w:val="001C33EC"/>
    <w:rsid w:val="001E5A72"/>
    <w:rsid w:val="002155FB"/>
    <w:rsid w:val="002156FA"/>
    <w:rsid w:val="00224355"/>
    <w:rsid w:val="00241F2B"/>
    <w:rsid w:val="002A305F"/>
    <w:rsid w:val="002D7778"/>
    <w:rsid w:val="002D7BB6"/>
    <w:rsid w:val="0032271D"/>
    <w:rsid w:val="00333E01"/>
    <w:rsid w:val="003E24CB"/>
    <w:rsid w:val="00421771"/>
    <w:rsid w:val="004815B8"/>
    <w:rsid w:val="004E63D5"/>
    <w:rsid w:val="00523A8A"/>
    <w:rsid w:val="00527932"/>
    <w:rsid w:val="0055426D"/>
    <w:rsid w:val="00566FD7"/>
    <w:rsid w:val="00580430"/>
    <w:rsid w:val="00585411"/>
    <w:rsid w:val="005A4E62"/>
    <w:rsid w:val="005C1806"/>
    <w:rsid w:val="005C7011"/>
    <w:rsid w:val="005C7B46"/>
    <w:rsid w:val="005D3622"/>
    <w:rsid w:val="006019D7"/>
    <w:rsid w:val="00621778"/>
    <w:rsid w:val="006338D6"/>
    <w:rsid w:val="0064560B"/>
    <w:rsid w:val="00654ECD"/>
    <w:rsid w:val="0067328C"/>
    <w:rsid w:val="006812B1"/>
    <w:rsid w:val="00685BB5"/>
    <w:rsid w:val="006A4D61"/>
    <w:rsid w:val="006D0416"/>
    <w:rsid w:val="006D43FC"/>
    <w:rsid w:val="006F4772"/>
    <w:rsid w:val="00701B60"/>
    <w:rsid w:val="007021E5"/>
    <w:rsid w:val="00704F2E"/>
    <w:rsid w:val="00714969"/>
    <w:rsid w:val="0071748F"/>
    <w:rsid w:val="00721FAB"/>
    <w:rsid w:val="0074404A"/>
    <w:rsid w:val="00744A62"/>
    <w:rsid w:val="007567D4"/>
    <w:rsid w:val="00781D7B"/>
    <w:rsid w:val="007D56E0"/>
    <w:rsid w:val="007E4D7A"/>
    <w:rsid w:val="007F1253"/>
    <w:rsid w:val="007F6B3D"/>
    <w:rsid w:val="00813AB8"/>
    <w:rsid w:val="0085120B"/>
    <w:rsid w:val="008556DE"/>
    <w:rsid w:val="00860878"/>
    <w:rsid w:val="008622E4"/>
    <w:rsid w:val="00877B12"/>
    <w:rsid w:val="008C5B9A"/>
    <w:rsid w:val="008F12ED"/>
    <w:rsid w:val="009001B3"/>
    <w:rsid w:val="009160D0"/>
    <w:rsid w:val="00931AB9"/>
    <w:rsid w:val="00952674"/>
    <w:rsid w:val="00992717"/>
    <w:rsid w:val="009B75F5"/>
    <w:rsid w:val="009C05E8"/>
    <w:rsid w:val="009C29B2"/>
    <w:rsid w:val="009F565D"/>
    <w:rsid w:val="009F68A1"/>
    <w:rsid w:val="00A1725D"/>
    <w:rsid w:val="00A743D4"/>
    <w:rsid w:val="00A929AE"/>
    <w:rsid w:val="00A9731A"/>
    <w:rsid w:val="00AA2330"/>
    <w:rsid w:val="00AA67A5"/>
    <w:rsid w:val="00AC0109"/>
    <w:rsid w:val="00AE18BC"/>
    <w:rsid w:val="00B37E7B"/>
    <w:rsid w:val="00B6724C"/>
    <w:rsid w:val="00BC2746"/>
    <w:rsid w:val="00BC7983"/>
    <w:rsid w:val="00BD63BA"/>
    <w:rsid w:val="00BD6F26"/>
    <w:rsid w:val="00BE7E77"/>
    <w:rsid w:val="00C0541D"/>
    <w:rsid w:val="00C15ABF"/>
    <w:rsid w:val="00C21D1F"/>
    <w:rsid w:val="00C4534E"/>
    <w:rsid w:val="00C464AB"/>
    <w:rsid w:val="00C865D9"/>
    <w:rsid w:val="00C872A3"/>
    <w:rsid w:val="00CD6124"/>
    <w:rsid w:val="00CE216C"/>
    <w:rsid w:val="00D071DF"/>
    <w:rsid w:val="00D21820"/>
    <w:rsid w:val="00D3356B"/>
    <w:rsid w:val="00D50C3B"/>
    <w:rsid w:val="00D63450"/>
    <w:rsid w:val="00D87011"/>
    <w:rsid w:val="00DB748D"/>
    <w:rsid w:val="00DD7D37"/>
    <w:rsid w:val="00E40546"/>
    <w:rsid w:val="00E51837"/>
    <w:rsid w:val="00E5501C"/>
    <w:rsid w:val="00E94579"/>
    <w:rsid w:val="00E962BF"/>
    <w:rsid w:val="00E96C36"/>
    <w:rsid w:val="00EA28E3"/>
    <w:rsid w:val="00EA31C8"/>
    <w:rsid w:val="00EF6DA3"/>
    <w:rsid w:val="00F05F58"/>
    <w:rsid w:val="00F124D6"/>
    <w:rsid w:val="00F50153"/>
    <w:rsid w:val="00F62187"/>
    <w:rsid w:val="00F63EC9"/>
    <w:rsid w:val="00FA7D25"/>
    <w:rsid w:val="00FA7FA9"/>
    <w:rsid w:val="00FE63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40D768F"/>
  <w15:chartTrackingRefBased/>
  <w15:docId w15:val="{DCD8B0E1-0A17-48A3-8C73-474A15818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4E7E"/>
    <w:pPr>
      <w:widowControl w:val="0"/>
      <w:autoSpaceDE w:val="0"/>
      <w:autoSpaceDN w:val="0"/>
      <w:adjustRightInd w:val="0"/>
    </w:pPr>
    <w:rPr>
      <w:rFonts w:ascii="Dutch Roman 12pt" w:hAnsi="Dutch Roman 12pt" w:cs="Arial Narrow"/>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rsid w:val="000B4E7E"/>
  </w:style>
  <w:style w:type="paragraph" w:styleId="Textkrper-Zeileneinzug">
    <w:name w:val="Body Text Indent"/>
    <w:basedOn w:val="Standard"/>
    <w:rsid w:val="00422976"/>
    <w:pPr>
      <w:autoSpaceDE/>
      <w:autoSpaceDN/>
      <w:adjustRightInd/>
      <w:ind w:left="336"/>
      <w:jc w:val="both"/>
    </w:pPr>
    <w:rPr>
      <w:rFonts w:ascii="Times New Roman" w:hAnsi="Times New Roman" w:cs="Times New Roman"/>
      <w:snapToGrid w:val="0"/>
      <w:spacing w:val="-2"/>
      <w:sz w:val="20"/>
      <w:szCs w:val="20"/>
    </w:rPr>
  </w:style>
  <w:style w:type="paragraph" w:styleId="Textkrper-Einzug2">
    <w:name w:val="Body Text Indent 2"/>
    <w:basedOn w:val="Standard"/>
    <w:rsid w:val="00422976"/>
    <w:pPr>
      <w:tabs>
        <w:tab w:val="left" w:pos="426"/>
      </w:tabs>
      <w:autoSpaceDE/>
      <w:autoSpaceDN/>
      <w:adjustRightInd/>
      <w:ind w:left="426"/>
      <w:jc w:val="both"/>
    </w:pPr>
    <w:rPr>
      <w:rFonts w:ascii="Times New Roman" w:hAnsi="Times New Roman" w:cs="Times New Roman"/>
      <w:snapToGrid w:val="0"/>
      <w:spacing w:val="-2"/>
      <w:sz w:val="20"/>
      <w:szCs w:val="20"/>
    </w:rPr>
  </w:style>
  <w:style w:type="paragraph" w:styleId="Sprechblasentext">
    <w:name w:val="Balloon Text"/>
    <w:basedOn w:val="Standard"/>
    <w:semiHidden/>
    <w:rsid w:val="00A8665F"/>
    <w:rPr>
      <w:rFonts w:ascii="Tahoma" w:hAnsi="Tahoma" w:cs="Tahoma"/>
      <w:sz w:val="16"/>
      <w:szCs w:val="16"/>
    </w:rPr>
  </w:style>
  <w:style w:type="character" w:styleId="Kommentarzeichen">
    <w:name w:val="annotation reference"/>
    <w:uiPriority w:val="99"/>
    <w:semiHidden/>
    <w:unhideWhenUsed/>
    <w:rsid w:val="00FA7D25"/>
    <w:rPr>
      <w:sz w:val="18"/>
      <w:szCs w:val="18"/>
    </w:rPr>
  </w:style>
  <w:style w:type="paragraph" w:styleId="Kommentartext">
    <w:name w:val="annotation text"/>
    <w:basedOn w:val="Standard"/>
    <w:link w:val="KommentartextZchn"/>
    <w:uiPriority w:val="99"/>
    <w:unhideWhenUsed/>
    <w:rsid w:val="00FA7D25"/>
  </w:style>
  <w:style w:type="character" w:customStyle="1" w:styleId="KommentartextZchn">
    <w:name w:val="Kommentartext Zchn"/>
    <w:link w:val="Kommentartext"/>
    <w:uiPriority w:val="99"/>
    <w:rsid w:val="00FA7D25"/>
    <w:rPr>
      <w:rFonts w:ascii="Dutch Roman 12pt" w:hAnsi="Dutch Roman 12pt" w:cs="Arial Narrow"/>
      <w:sz w:val="24"/>
      <w:szCs w:val="24"/>
    </w:rPr>
  </w:style>
  <w:style w:type="paragraph" w:styleId="Kommentarthema">
    <w:name w:val="annotation subject"/>
    <w:basedOn w:val="Kommentartext"/>
    <w:next w:val="Kommentartext"/>
    <w:link w:val="KommentarthemaZchn"/>
    <w:uiPriority w:val="99"/>
    <w:semiHidden/>
    <w:unhideWhenUsed/>
    <w:rsid w:val="00FA7D25"/>
    <w:rPr>
      <w:b/>
      <w:bCs/>
      <w:sz w:val="20"/>
      <w:szCs w:val="20"/>
    </w:rPr>
  </w:style>
  <w:style w:type="character" w:customStyle="1" w:styleId="KommentarthemaZchn">
    <w:name w:val="Kommentarthema Zchn"/>
    <w:link w:val="Kommentarthema"/>
    <w:uiPriority w:val="99"/>
    <w:semiHidden/>
    <w:rsid w:val="00FA7D25"/>
    <w:rPr>
      <w:rFonts w:ascii="Dutch Roman 12pt" w:hAnsi="Dutch Roman 12pt" w:cs="Arial Narrow"/>
      <w:b/>
      <w:bCs/>
      <w:sz w:val="24"/>
      <w:szCs w:val="24"/>
    </w:rPr>
  </w:style>
  <w:style w:type="paragraph" w:customStyle="1" w:styleId="FarbigeSchattierung-Akzent11">
    <w:name w:val="Farbige Schattierung - Akzent 11"/>
    <w:hidden/>
    <w:uiPriority w:val="71"/>
    <w:rsid w:val="0032271D"/>
    <w:rPr>
      <w:rFonts w:ascii="Dutch Roman 12pt" w:hAnsi="Dutch Roman 12pt" w:cs="Arial Narrow"/>
      <w:sz w:val="24"/>
      <w:szCs w:val="24"/>
    </w:rPr>
  </w:style>
  <w:style w:type="paragraph" w:styleId="berarbeitung">
    <w:name w:val="Revision"/>
    <w:hidden/>
    <w:uiPriority w:val="71"/>
    <w:rsid w:val="009B75F5"/>
    <w:rPr>
      <w:rFonts w:ascii="Dutch Roman 12pt" w:hAnsi="Dutch Roman 12pt"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1544</Words>
  <Characters>9733</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Professor Dr</vt:lpstr>
    </vt:vector>
  </TitlesOfParts>
  <Company>Humboldt-Universität zu Berlin</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Dr</dc:title>
  <dc:subject/>
  <dc:creator>Juristische Fakultät</dc:creator>
  <cp:keywords/>
  <cp:lastModifiedBy>Judith Schult</cp:lastModifiedBy>
  <cp:revision>2</cp:revision>
  <cp:lastPrinted>2020-10-30T14:39:00Z</cp:lastPrinted>
  <dcterms:created xsi:type="dcterms:W3CDTF">2024-10-10T12:01:00Z</dcterms:created>
  <dcterms:modified xsi:type="dcterms:W3CDTF">2024-10-10T12:01:00Z</dcterms:modified>
</cp:coreProperties>
</file>