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B3AE" w14:textId="4AE727D4" w:rsidR="00F5462D" w:rsidRDefault="00F5462D" w:rsidP="006719B4">
      <w:pPr>
        <w:tabs>
          <w:tab w:val="right" w:pos="10206"/>
        </w:tabs>
        <w:jc w:val="both"/>
        <w:rPr>
          <w:spacing w:val="-3"/>
        </w:rPr>
      </w:pPr>
      <w:r>
        <w:rPr>
          <w:b/>
          <w:spacing w:val="-3"/>
        </w:rPr>
        <w:t xml:space="preserve">Prof. Dr. </w:t>
      </w:r>
      <w:r w:rsidR="00311B46">
        <w:rPr>
          <w:b/>
          <w:spacing w:val="-3"/>
        </w:rPr>
        <w:t xml:space="preserve">Dr. h.c. </w:t>
      </w:r>
      <w:r>
        <w:rPr>
          <w:b/>
          <w:spacing w:val="-3"/>
        </w:rPr>
        <w:t>Bernd Heinrich/</w:t>
      </w:r>
      <w:r w:rsidR="00DC2D00">
        <w:rPr>
          <w:b/>
          <w:spacing w:val="-3"/>
        </w:rPr>
        <w:t>Pr</w:t>
      </w:r>
      <w:r w:rsidR="005F5F51">
        <w:rPr>
          <w:b/>
          <w:spacing w:val="-3"/>
        </w:rPr>
        <w:t>of</w:t>
      </w:r>
      <w:r w:rsidR="00DC2D00">
        <w:rPr>
          <w:b/>
          <w:spacing w:val="-3"/>
        </w:rPr>
        <w:t xml:space="preserve">. </w:t>
      </w:r>
      <w:r>
        <w:rPr>
          <w:b/>
          <w:spacing w:val="-3"/>
        </w:rPr>
        <w:t>Dr. Tobias Reinbacher</w:t>
      </w:r>
      <w:r>
        <w:rPr>
          <w:b/>
          <w:spacing w:val="-3"/>
        </w:rPr>
        <w:tab/>
        <w:t xml:space="preserve">Stand: 1. </w:t>
      </w:r>
      <w:r w:rsidR="001962CB">
        <w:rPr>
          <w:b/>
          <w:spacing w:val="-3"/>
        </w:rPr>
        <w:t>Oktober</w:t>
      </w:r>
      <w:r w:rsidR="00B64712">
        <w:rPr>
          <w:b/>
          <w:spacing w:val="-3"/>
        </w:rPr>
        <w:t xml:space="preserve"> 20</w:t>
      </w:r>
      <w:r w:rsidR="00773AAD">
        <w:rPr>
          <w:b/>
          <w:spacing w:val="-3"/>
        </w:rPr>
        <w:t>2</w:t>
      </w:r>
      <w:r w:rsidR="00837E60">
        <w:rPr>
          <w:b/>
          <w:spacing w:val="-3"/>
        </w:rPr>
        <w:t>4</w:t>
      </w:r>
    </w:p>
    <w:p w14:paraId="6D1FE177" w14:textId="4CD12F56" w:rsidR="00F5462D" w:rsidRDefault="00F5462D" w:rsidP="00F5462D">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837E60">
        <w:rPr>
          <w:b/>
          <w:spacing w:val="-3"/>
        </w:rPr>
        <w:t> </w:t>
      </w:r>
      <w:r>
        <w:rPr>
          <w:b/>
          <w:spacing w:val="-3"/>
        </w:rPr>
        <w:t>30</w:t>
      </w:r>
    </w:p>
    <w:p w14:paraId="7B198877" w14:textId="77777777" w:rsidR="00F5462D" w:rsidRPr="006719B4" w:rsidRDefault="00F5462D" w:rsidP="00F5462D">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b/>
          <w:spacing w:val="-7"/>
          <w:sz w:val="52"/>
          <w:szCs w:val="52"/>
        </w:rPr>
      </w:pPr>
      <w:r w:rsidRPr="006719B4">
        <w:rPr>
          <w:b/>
          <w:spacing w:val="-7"/>
          <w:sz w:val="52"/>
          <w:szCs w:val="52"/>
        </w:rPr>
        <w:t xml:space="preserve">Beweisverwertungsverbote V – </w:t>
      </w:r>
    </w:p>
    <w:p w14:paraId="1D952F59" w14:textId="77777777" w:rsidR="00F5462D" w:rsidRPr="006719B4" w:rsidRDefault="00F5462D" w:rsidP="00F5462D">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6719B4">
        <w:rPr>
          <w:b/>
          <w:spacing w:val="-7"/>
          <w:sz w:val="52"/>
          <w:szCs w:val="52"/>
        </w:rPr>
        <w:t>Untersuchung von Personen</w:t>
      </w:r>
    </w:p>
    <w:p w14:paraId="7F463561" w14:textId="77777777" w:rsidR="00F5462D" w:rsidRDefault="00F5462D">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9545D9">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BD0D81">
        <w:rPr>
          <w:rFonts w:ascii="Times New Roman" w:hAnsi="Times New Roman"/>
          <w:noProof/>
          <w:vanish/>
          <w:spacing w:val="-7"/>
          <w:sz w:val="60"/>
        </w:rPr>
        <w:t>1</w:t>
      </w:r>
      <w:r>
        <w:rPr>
          <w:rFonts w:ascii="Times New Roman" w:hAnsi="Times New Roman"/>
          <w:vanish/>
          <w:spacing w:val="-7"/>
          <w:sz w:val="60"/>
        </w:rPr>
        <w:fldChar w:fldCharType="end"/>
      </w:r>
    </w:p>
    <w:p w14:paraId="437AD874" w14:textId="77777777" w:rsidR="00F5462D" w:rsidRPr="003450F9" w:rsidRDefault="00F5462D">
      <w:pPr>
        <w:widowControl/>
        <w:tabs>
          <w:tab w:val="left" w:pos="-720"/>
          <w:tab w:val="left" w:pos="0"/>
          <w:tab w:val="left" w:pos="576"/>
          <w:tab w:val="left" w:pos="864"/>
          <w:tab w:val="left" w:pos="1116"/>
          <w:tab w:val="left" w:pos="1404"/>
          <w:tab w:val="left" w:pos="1692"/>
          <w:tab w:val="left" w:pos="1980"/>
          <w:tab w:val="left" w:pos="2268"/>
          <w:tab w:val="left" w:pos="2880"/>
        </w:tabs>
        <w:ind w:left="567" w:hanging="567"/>
        <w:jc w:val="both"/>
        <w:rPr>
          <w:rFonts w:ascii="Times New Roman" w:hAnsi="Times New Roman"/>
          <w:b/>
          <w:spacing w:val="-2"/>
          <w:sz w:val="16"/>
          <w:szCs w:val="16"/>
        </w:rPr>
      </w:pPr>
    </w:p>
    <w:p w14:paraId="5ACEAAB0" w14:textId="1011C78B" w:rsidR="00F5462D" w:rsidRPr="00E249B7" w:rsidRDefault="00F5462D" w:rsidP="00F5462D">
      <w:pPr>
        <w:tabs>
          <w:tab w:val="left" w:pos="851"/>
          <w:tab w:val="left" w:pos="1692"/>
          <w:tab w:val="left" w:pos="2240"/>
          <w:tab w:val="left" w:pos="2800"/>
          <w:tab w:val="left" w:pos="3360"/>
          <w:tab w:val="left" w:pos="3920"/>
          <w:tab w:val="left" w:pos="4480"/>
          <w:tab w:val="left" w:pos="5040"/>
          <w:tab w:val="left" w:pos="5600"/>
          <w:tab w:val="left" w:pos="6160"/>
          <w:tab w:val="left" w:pos="6720"/>
        </w:tabs>
        <w:ind w:left="284" w:hanging="284"/>
        <w:jc w:val="both"/>
        <w:rPr>
          <w:rFonts w:ascii="Times New Roman" w:hAnsi="Times New Roman"/>
          <w:spacing w:val="-2"/>
          <w:sz w:val="17"/>
          <w:szCs w:val="17"/>
          <w:u w:val="single"/>
        </w:rPr>
      </w:pPr>
      <w:r w:rsidRPr="00E249B7">
        <w:rPr>
          <w:rFonts w:ascii="Times New Roman" w:hAnsi="Times New Roman"/>
          <w:b/>
          <w:spacing w:val="-2"/>
          <w:sz w:val="17"/>
          <w:szCs w:val="17"/>
        </w:rPr>
        <w:t xml:space="preserve">I. </w:t>
      </w:r>
      <w:r w:rsidRPr="00E249B7">
        <w:rPr>
          <w:rFonts w:ascii="Times New Roman" w:hAnsi="Times New Roman"/>
          <w:b/>
          <w:spacing w:val="-2"/>
          <w:sz w:val="17"/>
          <w:szCs w:val="17"/>
        </w:rPr>
        <w:tab/>
        <w:t xml:space="preserve">Allgemeines: </w:t>
      </w:r>
      <w:r w:rsidRPr="00E249B7">
        <w:rPr>
          <w:rFonts w:ascii="Times New Roman" w:hAnsi="Times New Roman"/>
          <w:spacing w:val="-2"/>
          <w:sz w:val="17"/>
          <w:szCs w:val="17"/>
        </w:rPr>
        <w:t xml:space="preserve">Bei sämtlichen strafprozessualen Zwangsmaßnahmen sind Verfahrensfehler denkbar. Jeweils ist dann zu fragen, ob dieser Fehler auch zu einem Beweisverwertungsverbot führt. Diesbezüglich findet sich entweder eine gesetzliche Regelung oder es ist mit den Abgrenzungskriterien zu operieren, welche von </w:t>
      </w:r>
      <w:proofErr w:type="spellStart"/>
      <w:r w:rsidR="00837E60">
        <w:rPr>
          <w:rFonts w:ascii="Times New Roman" w:hAnsi="Times New Roman"/>
          <w:spacing w:val="-2"/>
          <w:sz w:val="17"/>
          <w:szCs w:val="17"/>
        </w:rPr>
        <w:t>Rspr</w:t>
      </w:r>
      <w:proofErr w:type="spellEnd"/>
      <w:r w:rsidR="00837E60">
        <w:rPr>
          <w:rFonts w:ascii="Times New Roman" w:hAnsi="Times New Roman"/>
          <w:spacing w:val="-2"/>
          <w:sz w:val="17"/>
          <w:szCs w:val="17"/>
        </w:rPr>
        <w:t>.</w:t>
      </w:r>
      <w:r w:rsidR="00837E60" w:rsidRPr="00E249B7">
        <w:rPr>
          <w:rFonts w:ascii="Times New Roman" w:hAnsi="Times New Roman"/>
          <w:spacing w:val="-2"/>
          <w:sz w:val="17"/>
          <w:szCs w:val="17"/>
        </w:rPr>
        <w:t xml:space="preserve"> </w:t>
      </w:r>
      <w:r w:rsidRPr="00E249B7">
        <w:rPr>
          <w:rFonts w:ascii="Times New Roman" w:hAnsi="Times New Roman"/>
          <w:spacing w:val="-2"/>
          <w:sz w:val="17"/>
          <w:szCs w:val="17"/>
        </w:rPr>
        <w:t>und Literatur entwickelt wurden (siehe dazu Arbeitsblatt Nr. 26). Als letzter wichtiger Bereich sollen hier einerseits die körperliche Untersuchung von Personen (vgl. zur Rechtmäßigkeit solcher Maßnahmen das Arbeitsblatt Nr. 16) sowie die DNA-Analyse (vgl. zur Rechtmäßigkeit solcher Maßnahmen Arbeitsblatt Nr. 17) behandelt werden.</w:t>
      </w:r>
    </w:p>
    <w:p w14:paraId="457705E4" w14:textId="1520D60C" w:rsidR="00DC2D00" w:rsidRPr="00E249B7" w:rsidRDefault="00F5462D" w:rsidP="000A2A78">
      <w:pPr>
        <w:spacing w:before="120"/>
        <w:ind w:left="284" w:hanging="284"/>
        <w:jc w:val="both"/>
        <w:rPr>
          <w:rFonts w:ascii="Times New Roman" w:hAnsi="Times New Roman" w:cs="Times New Roman"/>
          <w:sz w:val="17"/>
          <w:szCs w:val="17"/>
          <w:lang w:bidi="x-none"/>
        </w:rPr>
      </w:pPr>
      <w:r w:rsidRPr="00E249B7">
        <w:rPr>
          <w:rFonts w:ascii="Times New Roman" w:hAnsi="Times New Roman"/>
          <w:b/>
          <w:spacing w:val="-2"/>
          <w:sz w:val="17"/>
          <w:szCs w:val="17"/>
        </w:rPr>
        <w:t xml:space="preserve">II. </w:t>
      </w:r>
      <w:r w:rsidR="001A64DC">
        <w:rPr>
          <w:rFonts w:ascii="Times New Roman" w:hAnsi="Times New Roman"/>
          <w:b/>
          <w:spacing w:val="-2"/>
          <w:sz w:val="17"/>
          <w:szCs w:val="17"/>
        </w:rPr>
        <w:tab/>
      </w:r>
      <w:r w:rsidRPr="00E249B7">
        <w:rPr>
          <w:rFonts w:ascii="Times New Roman" w:hAnsi="Times New Roman"/>
          <w:b/>
          <w:spacing w:val="-2"/>
          <w:sz w:val="17"/>
          <w:szCs w:val="17"/>
        </w:rPr>
        <w:t>Körperliche Untersuchung nach § 81a StPO:</w:t>
      </w:r>
      <w:r w:rsidRPr="00E249B7">
        <w:rPr>
          <w:rFonts w:ascii="Times New Roman" w:hAnsi="Times New Roman"/>
          <w:spacing w:val="-2"/>
          <w:sz w:val="17"/>
          <w:szCs w:val="17"/>
        </w:rPr>
        <w:t xml:space="preserve"> Nach § 81a I</w:t>
      </w:r>
      <w:r w:rsidR="001270FF">
        <w:rPr>
          <w:rFonts w:ascii="Times New Roman" w:hAnsi="Times New Roman"/>
          <w:spacing w:val="-2"/>
          <w:sz w:val="17"/>
          <w:szCs w:val="17"/>
        </w:rPr>
        <w:t xml:space="preserve"> 1</w:t>
      </w:r>
      <w:r w:rsidRPr="00E249B7">
        <w:rPr>
          <w:rFonts w:ascii="Times New Roman" w:hAnsi="Times New Roman"/>
          <w:spacing w:val="-2"/>
          <w:sz w:val="17"/>
          <w:szCs w:val="17"/>
        </w:rPr>
        <w:t xml:space="preserve"> StPO dürfen </w:t>
      </w:r>
      <w:r w:rsidRPr="00E249B7">
        <w:rPr>
          <w:rFonts w:ascii="Times New Roman" w:hAnsi="Times New Roman" w:cs="Times New Roman"/>
          <w:sz w:val="17"/>
          <w:szCs w:val="17"/>
          <w:lang w:bidi="x-none"/>
        </w:rPr>
        <w:t xml:space="preserve">körperliche Untersuchungen des Beschuldigten zur Feststellung von Tatsachen angeordnet werden, die für das Verfahren von Bedeutung sind. Zu diesem Zweck sind Entnahmen von Blutproben und andere körperliche Eingriffe, die von einem Arzt nach den Regeln der ärztlichen Kunst zu Untersuchungszwecken vorgenommen werden, ohne Einwilligung des Beschuldigten zulässig, wenn kein Nachteil für seine Gesundheit zu befürchten ist. Im Einzelfall ist die Untersuchung von </w:t>
      </w:r>
      <w:r w:rsidR="00837E60">
        <w:rPr>
          <w:rFonts w:ascii="Times New Roman" w:hAnsi="Times New Roman" w:cs="Times New Roman"/>
          <w:sz w:val="17"/>
          <w:szCs w:val="17"/>
          <w:lang w:bidi="x-none"/>
        </w:rPr>
        <w:t xml:space="preserve">dem Eingriff und </w:t>
      </w:r>
      <w:r w:rsidRPr="00E249B7">
        <w:rPr>
          <w:rFonts w:ascii="Times New Roman" w:hAnsi="Times New Roman" w:cs="Times New Roman"/>
          <w:sz w:val="17"/>
          <w:szCs w:val="17"/>
          <w:lang w:bidi="x-none"/>
        </w:rPr>
        <w:t>der Durchsuchung gemäß § 102 StPO (vgl. dazu Arbeitsblatt Nr. </w:t>
      </w:r>
      <w:r w:rsidR="00E249B7">
        <w:rPr>
          <w:rFonts w:ascii="Times New Roman" w:hAnsi="Times New Roman" w:cs="Times New Roman"/>
          <w:sz w:val="17"/>
          <w:szCs w:val="17"/>
          <w:lang w:bidi="x-none"/>
        </w:rPr>
        <w:t>14</w:t>
      </w:r>
      <w:r w:rsidRPr="00E249B7">
        <w:rPr>
          <w:rFonts w:ascii="Times New Roman" w:hAnsi="Times New Roman" w:cs="Times New Roman"/>
          <w:sz w:val="17"/>
          <w:szCs w:val="17"/>
          <w:lang w:bidi="x-none"/>
        </w:rPr>
        <w:t xml:space="preserve">) abzugrenzen. Die Anordnung steht dem Richter, bei Gefährdung des Untersuchungserfolges durch Verzögerung auch der StA </w:t>
      </w:r>
      <w:r w:rsidR="00DC2D00" w:rsidRPr="00E249B7">
        <w:rPr>
          <w:rFonts w:ascii="Times New Roman" w:hAnsi="Times New Roman" w:cs="Times New Roman"/>
          <w:sz w:val="17"/>
          <w:szCs w:val="17"/>
          <w:lang w:bidi="x-none"/>
        </w:rPr>
        <w:t xml:space="preserve">und ihren Ermittlungspersonen </w:t>
      </w:r>
      <w:r w:rsidRPr="00E249B7">
        <w:rPr>
          <w:rFonts w:ascii="Times New Roman" w:hAnsi="Times New Roman" w:cs="Times New Roman"/>
          <w:sz w:val="17"/>
          <w:szCs w:val="17"/>
          <w:lang w:bidi="x-none"/>
        </w:rPr>
        <w:t>zu</w:t>
      </w:r>
      <w:r w:rsidR="00371109" w:rsidRPr="00E249B7">
        <w:rPr>
          <w:rFonts w:ascii="Times New Roman" w:hAnsi="Times New Roman" w:cs="Times New Roman"/>
          <w:sz w:val="17"/>
          <w:szCs w:val="17"/>
          <w:lang w:bidi="x-none"/>
        </w:rPr>
        <w:t>, §</w:t>
      </w:r>
      <w:r w:rsidR="00837E60">
        <w:rPr>
          <w:rFonts w:ascii="Times New Roman" w:hAnsi="Times New Roman" w:cs="Times New Roman"/>
          <w:sz w:val="17"/>
          <w:szCs w:val="17"/>
          <w:lang w:bidi="x-none"/>
        </w:rPr>
        <w:t> </w:t>
      </w:r>
      <w:r w:rsidR="00371109" w:rsidRPr="00E249B7">
        <w:rPr>
          <w:rFonts w:ascii="Times New Roman" w:hAnsi="Times New Roman" w:cs="Times New Roman"/>
          <w:sz w:val="17"/>
          <w:szCs w:val="17"/>
          <w:lang w:bidi="x-none"/>
        </w:rPr>
        <w:t>81a II 1 StPO. Die Entnahme einer Blutprobe bedarf abweichend von §</w:t>
      </w:r>
      <w:r w:rsidR="00A9784B">
        <w:rPr>
          <w:rFonts w:ascii="Times New Roman" w:hAnsi="Times New Roman" w:cs="Times New Roman"/>
          <w:sz w:val="17"/>
          <w:szCs w:val="17"/>
          <w:lang w:bidi="x-none"/>
        </w:rPr>
        <w:t> </w:t>
      </w:r>
      <w:r w:rsidR="00371109" w:rsidRPr="00E249B7">
        <w:rPr>
          <w:rFonts w:ascii="Times New Roman" w:hAnsi="Times New Roman" w:cs="Times New Roman"/>
          <w:sz w:val="17"/>
          <w:szCs w:val="17"/>
          <w:lang w:bidi="x-none"/>
        </w:rPr>
        <w:t xml:space="preserve">81a II 1 StPO jedoch </w:t>
      </w:r>
      <w:r w:rsidR="00371109" w:rsidRPr="00E249B7">
        <w:rPr>
          <w:rFonts w:ascii="Times New Roman" w:hAnsi="Times New Roman"/>
          <w:spacing w:val="-2"/>
          <w:sz w:val="17"/>
          <w:szCs w:val="17"/>
        </w:rPr>
        <w:t>keiner richterlichen Anordnung, wenn bestimmte Tatsachen den Verdacht begründen, dass eine Straftat nach § 315a I Nr. 1, II, III StGB, § 315c I Nr. 1a, II, III StGB oder § 316 StGB begangen worden ist (§ 81a II 2 StPO).</w:t>
      </w:r>
      <w:r w:rsidR="00C03E06" w:rsidRPr="00E249B7">
        <w:rPr>
          <w:rFonts w:ascii="Times New Roman" w:hAnsi="Times New Roman"/>
          <w:spacing w:val="-2"/>
          <w:sz w:val="17"/>
          <w:szCs w:val="17"/>
        </w:rPr>
        <w:t xml:space="preserve"> </w:t>
      </w:r>
      <w:r w:rsidR="00DC2D00" w:rsidRPr="00E249B7">
        <w:rPr>
          <w:rFonts w:ascii="Times New Roman" w:hAnsi="Times New Roman" w:cs="Times New Roman"/>
          <w:sz w:val="17"/>
          <w:szCs w:val="17"/>
          <w:lang w:bidi="x-none"/>
        </w:rPr>
        <w:t xml:space="preserve">Besonders praxisrelevant und umstritten </w:t>
      </w:r>
      <w:r w:rsidR="00FF1521" w:rsidRPr="00E249B7">
        <w:rPr>
          <w:rFonts w:ascii="Times New Roman" w:hAnsi="Times New Roman" w:cs="Times New Roman"/>
          <w:sz w:val="17"/>
          <w:szCs w:val="17"/>
          <w:lang w:bidi="x-none"/>
        </w:rPr>
        <w:t>sind</w:t>
      </w:r>
      <w:r w:rsidR="00DC2D00" w:rsidRPr="00E249B7">
        <w:rPr>
          <w:rFonts w:ascii="Times New Roman" w:hAnsi="Times New Roman" w:cs="Times New Roman"/>
          <w:sz w:val="17"/>
          <w:szCs w:val="17"/>
          <w:lang w:bidi="x-none"/>
        </w:rPr>
        <w:t xml:space="preserve"> Blutentnahmen zur Feststellung der BAK. Nach aktueller höchstrichterlicher </w:t>
      </w:r>
      <w:proofErr w:type="spellStart"/>
      <w:r w:rsidR="00DC2D00" w:rsidRPr="00E249B7">
        <w:rPr>
          <w:rFonts w:ascii="Times New Roman" w:hAnsi="Times New Roman" w:cs="Times New Roman"/>
          <w:sz w:val="17"/>
          <w:szCs w:val="17"/>
          <w:lang w:bidi="x-none"/>
        </w:rPr>
        <w:t>Rspr</w:t>
      </w:r>
      <w:proofErr w:type="spellEnd"/>
      <w:r w:rsidR="00DC2D00" w:rsidRPr="00E249B7">
        <w:rPr>
          <w:rFonts w:ascii="Times New Roman" w:hAnsi="Times New Roman" w:cs="Times New Roman"/>
          <w:sz w:val="17"/>
          <w:szCs w:val="17"/>
          <w:lang w:bidi="x-none"/>
        </w:rPr>
        <w:t>. liegt Gefahr im Verzug nicht schon wegen des körpereigenen Abbaus des Blutalkohols vor. Erforderlich ist hierfür vielmehr ein unklares oder komplexes Ermittlungsbil</w:t>
      </w:r>
      <w:r w:rsidR="00E249B7">
        <w:rPr>
          <w:rFonts w:ascii="Times New Roman" w:hAnsi="Times New Roman" w:cs="Times New Roman"/>
          <w:sz w:val="17"/>
          <w:szCs w:val="17"/>
          <w:lang w:bidi="x-none"/>
        </w:rPr>
        <w:t>d.</w:t>
      </w:r>
    </w:p>
    <w:p w14:paraId="0229E183" w14:textId="5865391C" w:rsidR="00474CE9" w:rsidRPr="00E249B7" w:rsidRDefault="00F5462D" w:rsidP="00A37435">
      <w:pPr>
        <w:spacing w:before="120"/>
        <w:ind w:left="284"/>
        <w:jc w:val="both"/>
        <w:rPr>
          <w:rFonts w:ascii="Times New Roman" w:hAnsi="Times New Roman" w:cs="Times New Roman"/>
          <w:sz w:val="17"/>
          <w:szCs w:val="17"/>
          <w:lang w:bidi="x-none"/>
        </w:rPr>
      </w:pPr>
      <w:r w:rsidRPr="00E249B7">
        <w:rPr>
          <w:rFonts w:ascii="Times New Roman" w:hAnsi="Times New Roman" w:cs="Times New Roman"/>
          <w:sz w:val="17"/>
          <w:szCs w:val="17"/>
          <w:lang w:bidi="x-none"/>
        </w:rPr>
        <w:t xml:space="preserve">Fraglich ist, ob ein Beweisverwertungsverbot anzunehmen ist, wenn die Untersuchung nicht von einem Arzt vorgenommen wird. Die h.M. lehnt hier </w:t>
      </w:r>
      <w:r w:rsidR="00AD5DA4">
        <w:rPr>
          <w:rFonts w:ascii="Times New Roman" w:hAnsi="Times New Roman" w:cs="Times New Roman"/>
          <w:sz w:val="17"/>
          <w:szCs w:val="17"/>
          <w:lang w:bidi="x-none"/>
        </w:rPr>
        <w:t xml:space="preserve">grundsätzlich </w:t>
      </w:r>
      <w:r w:rsidRPr="00E249B7">
        <w:rPr>
          <w:rFonts w:ascii="Times New Roman" w:hAnsi="Times New Roman" w:cs="Times New Roman"/>
          <w:sz w:val="17"/>
          <w:szCs w:val="17"/>
          <w:lang w:bidi="x-none"/>
        </w:rPr>
        <w:t>ein</w:t>
      </w:r>
      <w:r w:rsidR="00F73538">
        <w:rPr>
          <w:rFonts w:ascii="Times New Roman" w:hAnsi="Times New Roman" w:cs="Times New Roman"/>
          <w:sz w:val="17"/>
          <w:szCs w:val="17"/>
          <w:lang w:bidi="x-none"/>
        </w:rPr>
        <w:t xml:space="preserve"> </w:t>
      </w:r>
      <w:r w:rsidRPr="00E249B7">
        <w:rPr>
          <w:rFonts w:ascii="Times New Roman" w:hAnsi="Times New Roman" w:cs="Times New Roman"/>
          <w:sz w:val="17"/>
          <w:szCs w:val="17"/>
          <w:lang w:bidi="x-none"/>
        </w:rPr>
        <w:t xml:space="preserve">Beweisverwertungsverbot ab, denn </w:t>
      </w:r>
      <w:r w:rsidRPr="00E249B7">
        <w:rPr>
          <w:rFonts w:ascii="Times New Roman" w:hAnsi="Times New Roman" w:cs="Times New Roman"/>
          <w:b/>
          <w:sz w:val="17"/>
          <w:szCs w:val="17"/>
          <w:lang w:bidi="x-none"/>
        </w:rPr>
        <w:t>Sinn</w:t>
      </w:r>
      <w:r w:rsidRPr="00E249B7">
        <w:rPr>
          <w:rFonts w:ascii="Times New Roman" w:hAnsi="Times New Roman" w:cs="Times New Roman"/>
          <w:sz w:val="17"/>
          <w:szCs w:val="17"/>
          <w:lang w:bidi="x-none"/>
        </w:rPr>
        <w:t xml:space="preserve"> der Regelung ist der </w:t>
      </w:r>
      <w:r w:rsidRPr="00E249B7">
        <w:rPr>
          <w:rFonts w:ascii="Times New Roman" w:hAnsi="Times New Roman" w:cs="Times New Roman"/>
          <w:b/>
          <w:sz w:val="17"/>
          <w:szCs w:val="17"/>
          <w:lang w:bidi="x-none"/>
        </w:rPr>
        <w:t>Schutz der Gesundheit</w:t>
      </w:r>
      <w:r w:rsidRPr="00E249B7">
        <w:rPr>
          <w:rFonts w:ascii="Times New Roman" w:hAnsi="Times New Roman" w:cs="Times New Roman"/>
          <w:sz w:val="17"/>
          <w:szCs w:val="17"/>
          <w:lang w:bidi="x-none"/>
        </w:rPr>
        <w:t xml:space="preserve"> des Beschuldigten. Wird statt des Arztes etwa eine Krankenschwester tätig, so ist diesem Ziel ebenfalls Genüge getan. Etwas anderes gilt aber bei </w:t>
      </w:r>
      <w:r w:rsidRPr="00E249B7">
        <w:rPr>
          <w:rFonts w:ascii="Times New Roman" w:hAnsi="Times New Roman" w:cs="Times New Roman"/>
          <w:b/>
          <w:sz w:val="17"/>
          <w:szCs w:val="17"/>
          <w:lang w:bidi="x-none"/>
        </w:rPr>
        <w:t xml:space="preserve">gezielter Umgehung </w:t>
      </w:r>
      <w:r w:rsidRPr="00E249B7">
        <w:rPr>
          <w:rFonts w:ascii="Times New Roman" w:hAnsi="Times New Roman" w:cs="Times New Roman"/>
          <w:sz w:val="17"/>
          <w:szCs w:val="17"/>
          <w:lang w:bidi="x-none"/>
        </w:rPr>
        <w:t xml:space="preserve">der Voraussetzungen der Vorschrift. </w:t>
      </w:r>
      <w:r w:rsidR="000C72D5" w:rsidRPr="00E249B7">
        <w:rPr>
          <w:rFonts w:ascii="Times New Roman" w:hAnsi="Times New Roman" w:cs="Times New Roman"/>
          <w:sz w:val="17"/>
          <w:szCs w:val="17"/>
          <w:lang w:bidi="x-none"/>
        </w:rPr>
        <w:t xml:space="preserve">Auch ein </w:t>
      </w:r>
      <w:r w:rsidR="000C72D5" w:rsidRPr="00E249B7">
        <w:rPr>
          <w:rFonts w:ascii="Times New Roman" w:hAnsi="Times New Roman" w:cs="Times New Roman"/>
          <w:b/>
          <w:sz w:val="17"/>
          <w:szCs w:val="17"/>
          <w:lang w:bidi="x-none"/>
        </w:rPr>
        <w:t>Verstoß gegen den Richtervorbehalt</w:t>
      </w:r>
      <w:r w:rsidR="000C72D5" w:rsidRPr="00E249B7">
        <w:rPr>
          <w:rFonts w:ascii="Times New Roman" w:hAnsi="Times New Roman" w:cs="Times New Roman"/>
          <w:sz w:val="17"/>
          <w:szCs w:val="17"/>
          <w:lang w:bidi="x-none"/>
        </w:rPr>
        <w:t xml:space="preserve"> führt </w:t>
      </w:r>
      <w:r w:rsidR="00E249B7">
        <w:rPr>
          <w:rFonts w:ascii="Times New Roman" w:hAnsi="Times New Roman" w:cs="Times New Roman"/>
          <w:sz w:val="17"/>
          <w:szCs w:val="17"/>
          <w:lang w:bidi="x-none"/>
        </w:rPr>
        <w:t xml:space="preserve">nach der </w:t>
      </w:r>
      <w:proofErr w:type="spellStart"/>
      <w:r w:rsidR="00E249B7">
        <w:rPr>
          <w:rFonts w:ascii="Times New Roman" w:hAnsi="Times New Roman" w:cs="Times New Roman"/>
          <w:sz w:val="17"/>
          <w:szCs w:val="17"/>
          <w:lang w:bidi="x-none"/>
        </w:rPr>
        <w:t>Rspr</w:t>
      </w:r>
      <w:proofErr w:type="spellEnd"/>
      <w:r w:rsidR="00E249B7">
        <w:rPr>
          <w:rFonts w:ascii="Times New Roman" w:hAnsi="Times New Roman" w:cs="Times New Roman"/>
          <w:sz w:val="17"/>
          <w:szCs w:val="17"/>
          <w:lang w:bidi="x-none"/>
        </w:rPr>
        <w:t xml:space="preserve">. </w:t>
      </w:r>
      <w:r w:rsidR="000C72D5" w:rsidRPr="00E249B7">
        <w:rPr>
          <w:rFonts w:ascii="Times New Roman" w:hAnsi="Times New Roman" w:cs="Times New Roman"/>
          <w:sz w:val="17"/>
          <w:szCs w:val="17"/>
          <w:lang w:bidi="x-none"/>
        </w:rPr>
        <w:t xml:space="preserve">grundsätzlich nicht zu einem Beweisverwertungsverbot. Vielmehr stellt ein </w:t>
      </w:r>
      <w:r w:rsidR="000C72D5" w:rsidRPr="00E249B7">
        <w:rPr>
          <w:rFonts w:ascii="Times New Roman" w:hAnsi="Times New Roman" w:cs="Times New Roman"/>
          <w:b/>
          <w:sz w:val="17"/>
          <w:szCs w:val="17"/>
          <w:lang w:bidi="x-none"/>
        </w:rPr>
        <w:t>Beweisverwertungsverbot</w:t>
      </w:r>
      <w:r w:rsidR="000C72D5" w:rsidRPr="00E249B7">
        <w:rPr>
          <w:rFonts w:ascii="Times New Roman" w:hAnsi="Times New Roman" w:cs="Times New Roman"/>
          <w:sz w:val="17"/>
          <w:szCs w:val="17"/>
          <w:lang w:bidi="x-none"/>
        </w:rPr>
        <w:t xml:space="preserve"> eine </w:t>
      </w:r>
      <w:r w:rsidR="000C72D5" w:rsidRPr="00E249B7">
        <w:rPr>
          <w:rFonts w:ascii="Times New Roman" w:hAnsi="Times New Roman" w:cs="Times New Roman"/>
          <w:b/>
          <w:sz w:val="17"/>
          <w:szCs w:val="17"/>
          <w:lang w:bidi="x-none"/>
        </w:rPr>
        <w:t>Ausnahme</w:t>
      </w:r>
      <w:r w:rsidR="000C72D5" w:rsidRPr="00E249B7">
        <w:rPr>
          <w:rFonts w:ascii="Times New Roman" w:hAnsi="Times New Roman" w:cs="Times New Roman"/>
          <w:sz w:val="17"/>
          <w:szCs w:val="17"/>
          <w:lang w:bidi="x-none"/>
        </w:rPr>
        <w:t xml:space="preserve"> dar, die jeweils nach den Umständen des Einzelfalls, </w:t>
      </w:r>
      <w:r w:rsidR="00837E60">
        <w:rPr>
          <w:rFonts w:ascii="Times New Roman" w:hAnsi="Times New Roman" w:cs="Times New Roman"/>
          <w:sz w:val="17"/>
          <w:szCs w:val="17"/>
          <w:lang w:bidi="x-none"/>
        </w:rPr>
        <w:t>insb.</w:t>
      </w:r>
      <w:r w:rsidR="00837E60" w:rsidRPr="00E249B7">
        <w:rPr>
          <w:rFonts w:ascii="Times New Roman" w:hAnsi="Times New Roman" w:cs="Times New Roman"/>
          <w:sz w:val="17"/>
          <w:szCs w:val="17"/>
          <w:lang w:bidi="x-none"/>
        </w:rPr>
        <w:t xml:space="preserve"> </w:t>
      </w:r>
      <w:r w:rsidR="000C72D5" w:rsidRPr="00E249B7">
        <w:rPr>
          <w:rFonts w:ascii="Times New Roman" w:hAnsi="Times New Roman" w:cs="Times New Roman"/>
          <w:sz w:val="17"/>
          <w:szCs w:val="17"/>
          <w:lang w:bidi="x-none"/>
        </w:rPr>
        <w:t xml:space="preserve">nach der Art des Verbots und dem Gewicht des Verfahrensverstoßes sowie der Bedeutung der im Einzelfall betroffenen Rechtsgüter zu bestimmen ist. So können die </w:t>
      </w:r>
      <w:r w:rsidR="000C72D5" w:rsidRPr="00E249B7">
        <w:rPr>
          <w:rFonts w:ascii="Times New Roman" w:hAnsi="Times New Roman" w:cs="Times New Roman"/>
          <w:b/>
          <w:sz w:val="17"/>
          <w:szCs w:val="17"/>
          <w:lang w:bidi="x-none"/>
        </w:rPr>
        <w:t>willkürliche Annahme</w:t>
      </w:r>
      <w:r w:rsidR="000C72D5" w:rsidRPr="00E249B7">
        <w:rPr>
          <w:rFonts w:ascii="Times New Roman" w:hAnsi="Times New Roman" w:cs="Times New Roman"/>
          <w:sz w:val="17"/>
          <w:szCs w:val="17"/>
          <w:lang w:bidi="x-none"/>
        </w:rPr>
        <w:t xml:space="preserve"> von Gefahr im Verzug, die </w:t>
      </w:r>
      <w:r w:rsidR="000C72D5" w:rsidRPr="00E249B7">
        <w:rPr>
          <w:rFonts w:ascii="Times New Roman" w:hAnsi="Times New Roman" w:cs="Times New Roman"/>
          <w:b/>
          <w:sz w:val="17"/>
          <w:szCs w:val="17"/>
          <w:lang w:bidi="x-none"/>
        </w:rPr>
        <w:t>bewusste und gezielte Umgehung des Richtervorbehalts</w:t>
      </w:r>
      <w:r w:rsidR="000C72D5" w:rsidRPr="00E249B7">
        <w:rPr>
          <w:rFonts w:ascii="Times New Roman" w:hAnsi="Times New Roman" w:cs="Times New Roman"/>
          <w:sz w:val="17"/>
          <w:szCs w:val="17"/>
          <w:lang w:bidi="x-none"/>
        </w:rPr>
        <w:t xml:space="preserve"> oder die in gleichgewichtiger Weise </w:t>
      </w:r>
      <w:proofErr w:type="spellStart"/>
      <w:r w:rsidR="000C72D5" w:rsidRPr="00E249B7">
        <w:rPr>
          <w:rFonts w:ascii="Times New Roman" w:hAnsi="Times New Roman" w:cs="Times New Roman"/>
          <w:b/>
          <w:sz w:val="17"/>
          <w:szCs w:val="17"/>
          <w:lang w:bidi="x-none"/>
        </w:rPr>
        <w:t>gröbliche</w:t>
      </w:r>
      <w:proofErr w:type="spellEnd"/>
      <w:r w:rsidR="000C72D5" w:rsidRPr="00E249B7">
        <w:rPr>
          <w:rFonts w:ascii="Times New Roman" w:hAnsi="Times New Roman" w:cs="Times New Roman"/>
          <w:b/>
          <w:sz w:val="17"/>
          <w:szCs w:val="17"/>
          <w:lang w:bidi="x-none"/>
        </w:rPr>
        <w:t xml:space="preserve"> Verkennung der Rechtslage</w:t>
      </w:r>
      <w:r w:rsidR="000C72D5" w:rsidRPr="00E249B7">
        <w:rPr>
          <w:rFonts w:ascii="Times New Roman" w:hAnsi="Times New Roman" w:cs="Times New Roman"/>
          <w:sz w:val="17"/>
          <w:szCs w:val="17"/>
          <w:lang w:bidi="x-none"/>
        </w:rPr>
        <w:t>, nicht jedoch die rechtswidrige Annahme von Gefahr im Verzug allein, ein Verwertungsverbot begründen</w:t>
      </w:r>
      <w:r w:rsidR="00CB2753" w:rsidRPr="00E249B7">
        <w:rPr>
          <w:rFonts w:ascii="Times New Roman" w:hAnsi="Times New Roman" w:cs="Times New Roman"/>
          <w:sz w:val="17"/>
          <w:szCs w:val="17"/>
          <w:lang w:bidi="x-none"/>
        </w:rPr>
        <w:t xml:space="preserve"> (vgl. </w:t>
      </w:r>
      <w:r w:rsidR="00CB2753" w:rsidRPr="00E249B7">
        <w:rPr>
          <w:rFonts w:ascii="Times New Roman" w:hAnsi="Times New Roman" w:cs="Times New Roman"/>
          <w:b/>
          <w:sz w:val="17"/>
          <w:szCs w:val="17"/>
          <w:lang w:bidi="x-none"/>
        </w:rPr>
        <w:t>BVerfG NJW 2008, 3053; NStZ 2011, 289</w:t>
      </w:r>
      <w:r w:rsidR="00CB2753" w:rsidRPr="00E249B7">
        <w:rPr>
          <w:rFonts w:ascii="Times New Roman" w:hAnsi="Times New Roman" w:cs="Times New Roman"/>
          <w:sz w:val="17"/>
          <w:szCs w:val="17"/>
          <w:lang w:bidi="x-none"/>
        </w:rPr>
        <w:t>).</w:t>
      </w:r>
      <w:r w:rsidR="00474CE9" w:rsidRPr="00E249B7">
        <w:rPr>
          <w:rFonts w:ascii="Times New Roman" w:hAnsi="Times New Roman" w:cs="Times New Roman"/>
          <w:sz w:val="17"/>
          <w:szCs w:val="17"/>
          <w:lang w:bidi="x-none"/>
        </w:rPr>
        <w:t xml:space="preserve"> </w:t>
      </w:r>
      <w:r w:rsidRPr="00E249B7">
        <w:rPr>
          <w:rFonts w:ascii="Times New Roman" w:hAnsi="Times New Roman" w:cs="Times New Roman"/>
          <w:sz w:val="17"/>
          <w:szCs w:val="17"/>
          <w:lang w:bidi="x-none"/>
        </w:rPr>
        <w:t xml:space="preserve">Zudem ist beim Verstoß gegen den Richtervorbehalt wohl die </w:t>
      </w:r>
      <w:r w:rsidRPr="00E249B7">
        <w:rPr>
          <w:rFonts w:ascii="Times New Roman" w:hAnsi="Times New Roman" w:cs="Times New Roman"/>
          <w:b/>
          <w:sz w:val="17"/>
          <w:szCs w:val="17"/>
          <w:lang w:bidi="x-none"/>
        </w:rPr>
        <w:t>Widerspruchslösung</w:t>
      </w:r>
      <w:r w:rsidRPr="00E249B7">
        <w:rPr>
          <w:rFonts w:ascii="Times New Roman" w:hAnsi="Times New Roman" w:cs="Times New Roman"/>
          <w:sz w:val="17"/>
          <w:szCs w:val="17"/>
          <w:lang w:bidi="x-none"/>
        </w:rPr>
        <w:t xml:space="preserve"> zu beachten (vgl. </w:t>
      </w:r>
      <w:r w:rsidRPr="00E249B7">
        <w:rPr>
          <w:rFonts w:ascii="Times New Roman" w:hAnsi="Times New Roman"/>
          <w:b/>
          <w:spacing w:val="-2"/>
          <w:sz w:val="17"/>
          <w:szCs w:val="17"/>
        </w:rPr>
        <w:t>OLG Hamm NJW 2009, 242)</w:t>
      </w:r>
      <w:r w:rsidRPr="00E249B7">
        <w:rPr>
          <w:rFonts w:ascii="Times New Roman" w:hAnsi="Times New Roman"/>
          <w:spacing w:val="-2"/>
          <w:sz w:val="17"/>
          <w:szCs w:val="17"/>
        </w:rPr>
        <w:t xml:space="preserve">. </w:t>
      </w:r>
      <w:r w:rsidR="00474CE9" w:rsidRPr="00E249B7">
        <w:rPr>
          <w:rFonts w:ascii="Times New Roman" w:hAnsi="Times New Roman"/>
          <w:spacing w:val="-2"/>
          <w:sz w:val="17"/>
          <w:szCs w:val="17"/>
        </w:rPr>
        <w:t>Die Inanspruchnahme der Eilkompetenz bei fehlendem richterlichen Bereitschaftsdienst stellt hingegen keine willkürliche oder gezielte Umgehung des Richtervorbehalts dar</w:t>
      </w:r>
      <w:r w:rsidR="00E40886">
        <w:rPr>
          <w:rFonts w:ascii="Times New Roman" w:hAnsi="Times New Roman"/>
          <w:spacing w:val="-2"/>
          <w:sz w:val="17"/>
          <w:szCs w:val="17"/>
        </w:rPr>
        <w:t xml:space="preserve">; </w:t>
      </w:r>
      <w:r w:rsidR="008E09D4">
        <w:rPr>
          <w:rFonts w:ascii="Times New Roman" w:hAnsi="Times New Roman"/>
          <w:spacing w:val="-2"/>
          <w:sz w:val="17"/>
          <w:szCs w:val="17"/>
        </w:rPr>
        <w:t xml:space="preserve">auch kann nach dem BVerfG </w:t>
      </w:r>
      <w:r w:rsidR="00E40886">
        <w:rPr>
          <w:rFonts w:ascii="Times New Roman" w:hAnsi="Times New Roman"/>
          <w:spacing w:val="-2"/>
          <w:sz w:val="17"/>
          <w:szCs w:val="17"/>
        </w:rPr>
        <w:t xml:space="preserve">die </w:t>
      </w:r>
      <w:proofErr w:type="spellStart"/>
      <w:r w:rsidR="00837E60">
        <w:rPr>
          <w:rFonts w:ascii="Times New Roman" w:hAnsi="Times New Roman"/>
          <w:spacing w:val="-2"/>
          <w:sz w:val="17"/>
          <w:szCs w:val="17"/>
        </w:rPr>
        <w:t>Rspr</w:t>
      </w:r>
      <w:proofErr w:type="spellEnd"/>
      <w:r w:rsidR="00837E60">
        <w:rPr>
          <w:rFonts w:ascii="Times New Roman" w:hAnsi="Times New Roman"/>
          <w:spacing w:val="-2"/>
          <w:sz w:val="17"/>
          <w:szCs w:val="17"/>
        </w:rPr>
        <w:t xml:space="preserve">. </w:t>
      </w:r>
      <w:r w:rsidR="00E40886">
        <w:rPr>
          <w:rFonts w:ascii="Times New Roman" w:hAnsi="Times New Roman"/>
          <w:spacing w:val="-2"/>
          <w:sz w:val="17"/>
          <w:szCs w:val="17"/>
        </w:rPr>
        <w:t xml:space="preserve">zur Einrichtung eines Eildienstes </w:t>
      </w:r>
      <w:r w:rsidR="008E09D4">
        <w:rPr>
          <w:rFonts w:ascii="Times New Roman" w:hAnsi="Times New Roman"/>
          <w:spacing w:val="-2"/>
          <w:sz w:val="17"/>
          <w:szCs w:val="17"/>
        </w:rPr>
        <w:t>bei</w:t>
      </w:r>
      <w:r w:rsidR="00E40886">
        <w:rPr>
          <w:rFonts w:ascii="Times New Roman" w:hAnsi="Times New Roman"/>
          <w:spacing w:val="-2"/>
          <w:sz w:val="17"/>
          <w:szCs w:val="17"/>
        </w:rPr>
        <w:t xml:space="preserve"> Art. 13 II GG nicht</w:t>
      </w:r>
      <w:r w:rsidR="00474CE9" w:rsidRPr="00E249B7">
        <w:rPr>
          <w:rFonts w:ascii="Times New Roman" w:hAnsi="Times New Roman"/>
          <w:spacing w:val="-2"/>
          <w:sz w:val="17"/>
          <w:szCs w:val="17"/>
        </w:rPr>
        <w:t xml:space="preserve"> </w:t>
      </w:r>
      <w:r w:rsidR="008E09D4">
        <w:rPr>
          <w:rFonts w:ascii="Times New Roman" w:hAnsi="Times New Roman"/>
          <w:spacing w:val="-2"/>
          <w:sz w:val="17"/>
          <w:szCs w:val="17"/>
        </w:rPr>
        <w:t xml:space="preserve">schematisch auf den einfachgesetzlichen Richtervorbehalt übertragen werden </w:t>
      </w:r>
      <w:r w:rsidR="00474CE9" w:rsidRPr="00E249B7">
        <w:rPr>
          <w:rFonts w:ascii="Times New Roman" w:hAnsi="Times New Roman"/>
          <w:spacing w:val="-2"/>
          <w:sz w:val="17"/>
          <w:szCs w:val="17"/>
        </w:rPr>
        <w:t xml:space="preserve">(vgl. </w:t>
      </w:r>
      <w:r w:rsidR="00474CE9" w:rsidRPr="00E249B7">
        <w:rPr>
          <w:rFonts w:ascii="Times New Roman" w:hAnsi="Times New Roman"/>
          <w:b/>
          <w:spacing w:val="-2"/>
          <w:sz w:val="17"/>
          <w:szCs w:val="17"/>
        </w:rPr>
        <w:t xml:space="preserve">BVerfG </w:t>
      </w:r>
      <w:proofErr w:type="spellStart"/>
      <w:r w:rsidR="00474CE9" w:rsidRPr="00E249B7">
        <w:rPr>
          <w:rFonts w:ascii="Times New Roman" w:hAnsi="Times New Roman"/>
          <w:b/>
          <w:spacing w:val="-2"/>
          <w:sz w:val="17"/>
          <w:szCs w:val="17"/>
        </w:rPr>
        <w:t>StraFo</w:t>
      </w:r>
      <w:proofErr w:type="spellEnd"/>
      <w:r w:rsidR="00474CE9" w:rsidRPr="00E249B7">
        <w:rPr>
          <w:rFonts w:ascii="Times New Roman" w:hAnsi="Times New Roman"/>
          <w:b/>
          <w:spacing w:val="-2"/>
          <w:sz w:val="17"/>
          <w:szCs w:val="17"/>
        </w:rPr>
        <w:t xml:space="preserve"> 2011, 145</w:t>
      </w:r>
      <w:r w:rsidR="00474CE9" w:rsidRPr="00E249B7">
        <w:rPr>
          <w:rFonts w:ascii="Times New Roman" w:hAnsi="Times New Roman"/>
          <w:spacing w:val="-2"/>
          <w:sz w:val="17"/>
          <w:szCs w:val="17"/>
        </w:rPr>
        <w:t>). Auch allein das Fehlen der verfassungsgerichtlich vorgeschriebenen Dokumentation der Gründe für die Annahme von Gefahr im Verzug ist kein schwerwiegender Fehler, der ein Verwertungsverbot nach sich zieht (</w:t>
      </w:r>
      <w:r w:rsidR="00474CE9" w:rsidRPr="00E249B7">
        <w:rPr>
          <w:rFonts w:ascii="Times New Roman" w:hAnsi="Times New Roman"/>
          <w:b/>
          <w:spacing w:val="-2"/>
          <w:sz w:val="17"/>
          <w:szCs w:val="17"/>
        </w:rPr>
        <w:t>BVerfG NJW 2008, 3053; BGH NStZ-RR 2007, 242</w:t>
      </w:r>
      <w:r w:rsidR="00837E60">
        <w:rPr>
          <w:rFonts w:ascii="Times New Roman" w:hAnsi="Times New Roman"/>
          <w:b/>
          <w:spacing w:val="-2"/>
          <w:sz w:val="17"/>
          <w:szCs w:val="17"/>
        </w:rPr>
        <w:t xml:space="preserve">, </w:t>
      </w:r>
      <w:r w:rsidR="00474CE9" w:rsidRPr="00E249B7">
        <w:rPr>
          <w:rFonts w:ascii="Times New Roman" w:hAnsi="Times New Roman"/>
          <w:b/>
          <w:spacing w:val="-2"/>
          <w:sz w:val="17"/>
          <w:szCs w:val="17"/>
        </w:rPr>
        <w:t>243</w:t>
      </w:r>
      <w:r w:rsidR="00474CE9" w:rsidRPr="00E249B7">
        <w:rPr>
          <w:rFonts w:ascii="Times New Roman" w:hAnsi="Times New Roman"/>
          <w:spacing w:val="-2"/>
          <w:sz w:val="17"/>
          <w:szCs w:val="17"/>
        </w:rPr>
        <w:t>).</w:t>
      </w:r>
    </w:p>
    <w:p w14:paraId="1BBCFE5D" w14:textId="517F7B57" w:rsidR="00F5462D" w:rsidRPr="00DE2712" w:rsidRDefault="00F5462D" w:rsidP="00A37435">
      <w:pPr>
        <w:spacing w:before="120"/>
        <w:ind w:left="284"/>
        <w:jc w:val="both"/>
        <w:rPr>
          <w:rFonts w:ascii="Times New Roman" w:hAnsi="Times New Roman"/>
          <w:spacing w:val="-2"/>
          <w:sz w:val="17"/>
          <w:szCs w:val="17"/>
          <w:u w:val="single"/>
        </w:rPr>
      </w:pPr>
      <w:r w:rsidRPr="00E249B7">
        <w:rPr>
          <w:rFonts w:ascii="Times New Roman" w:hAnsi="Times New Roman" w:cs="Times New Roman"/>
          <w:sz w:val="17"/>
          <w:szCs w:val="17"/>
          <w:lang w:bidi="x-none"/>
        </w:rPr>
        <w:t xml:space="preserve">Interessant ist ferner die Frage, was bei einem </w:t>
      </w:r>
      <w:r w:rsidRPr="00E249B7">
        <w:rPr>
          <w:rFonts w:ascii="Times New Roman" w:hAnsi="Times New Roman" w:cs="Times New Roman"/>
          <w:b/>
          <w:sz w:val="17"/>
          <w:szCs w:val="17"/>
          <w:lang w:bidi="x-none"/>
        </w:rPr>
        <w:t>zwangsweisen Brechmitteleinsatz</w:t>
      </w:r>
      <w:r w:rsidRPr="00E249B7">
        <w:rPr>
          <w:rFonts w:ascii="Times New Roman" w:hAnsi="Times New Roman" w:cs="Times New Roman"/>
          <w:sz w:val="17"/>
          <w:szCs w:val="17"/>
          <w:lang w:bidi="x-none"/>
        </w:rPr>
        <w:t xml:space="preserve"> gilt, denn nach Ansicht des </w:t>
      </w:r>
      <w:r w:rsidRPr="00E249B7">
        <w:rPr>
          <w:rFonts w:ascii="Times New Roman" w:hAnsi="Times New Roman" w:cs="Times New Roman"/>
          <w:b/>
          <w:sz w:val="17"/>
          <w:szCs w:val="17"/>
          <w:lang w:bidi="x-none"/>
        </w:rPr>
        <w:t>EGMR</w:t>
      </w:r>
      <w:r w:rsidRPr="00E249B7">
        <w:rPr>
          <w:rFonts w:ascii="Times New Roman" w:hAnsi="Times New Roman" w:cs="Times New Roman"/>
          <w:sz w:val="17"/>
          <w:szCs w:val="17"/>
          <w:lang w:bidi="x-none"/>
        </w:rPr>
        <w:t xml:space="preserve"> </w:t>
      </w:r>
      <w:r w:rsidR="00F57F8B">
        <w:rPr>
          <w:rFonts w:ascii="Times New Roman" w:hAnsi="Times New Roman" w:cs="Times New Roman"/>
          <w:sz w:val="17"/>
          <w:szCs w:val="17"/>
          <w:lang w:bidi="x-none"/>
        </w:rPr>
        <w:t>kann</w:t>
      </w:r>
      <w:r w:rsidR="00F57F8B" w:rsidRPr="00E249B7">
        <w:rPr>
          <w:rFonts w:ascii="Times New Roman" w:hAnsi="Times New Roman" w:cs="Times New Roman"/>
          <w:sz w:val="17"/>
          <w:szCs w:val="17"/>
          <w:lang w:bidi="x-none"/>
        </w:rPr>
        <w:t xml:space="preserve"> </w:t>
      </w:r>
      <w:r w:rsidRPr="00E249B7">
        <w:rPr>
          <w:rFonts w:ascii="Times New Roman" w:hAnsi="Times New Roman" w:cs="Times New Roman"/>
          <w:sz w:val="17"/>
          <w:szCs w:val="17"/>
          <w:lang w:bidi="x-none"/>
        </w:rPr>
        <w:t xml:space="preserve">dieser </w:t>
      </w:r>
      <w:r w:rsidR="002827B7">
        <w:rPr>
          <w:rFonts w:ascii="Times New Roman" w:hAnsi="Times New Roman" w:cs="Times New Roman"/>
          <w:sz w:val="17"/>
          <w:szCs w:val="17"/>
          <w:lang w:bidi="x-none"/>
        </w:rPr>
        <w:t xml:space="preserve">eine </w:t>
      </w:r>
      <w:r w:rsidR="002827B7" w:rsidRPr="00CA448F">
        <w:rPr>
          <w:rFonts w:ascii="Times New Roman" w:hAnsi="Times New Roman" w:cs="Times New Roman"/>
          <w:sz w:val="17"/>
          <w:szCs w:val="17"/>
          <w:lang w:bidi="x-none"/>
        </w:rPr>
        <w:t xml:space="preserve">unmenschliche und erniedrigende Behandlung i.S.v. </w:t>
      </w:r>
      <w:r w:rsidRPr="00CA448F">
        <w:rPr>
          <w:rFonts w:ascii="Times New Roman" w:hAnsi="Times New Roman" w:cs="Times New Roman"/>
          <w:sz w:val="17"/>
          <w:szCs w:val="17"/>
          <w:lang w:bidi="x-none"/>
        </w:rPr>
        <w:t>Art. 3 EMRK</w:t>
      </w:r>
      <w:r w:rsidR="00F57F8B" w:rsidRPr="00CA448F">
        <w:rPr>
          <w:rFonts w:ascii="Times New Roman" w:hAnsi="Times New Roman" w:cs="Times New Roman"/>
          <w:sz w:val="17"/>
          <w:szCs w:val="17"/>
          <w:lang w:bidi="x-none"/>
        </w:rPr>
        <w:t xml:space="preserve"> </w:t>
      </w:r>
      <w:r w:rsidR="002827B7" w:rsidRPr="00CA448F">
        <w:rPr>
          <w:rFonts w:ascii="Times New Roman" w:hAnsi="Times New Roman" w:cs="Times New Roman"/>
          <w:sz w:val="17"/>
          <w:szCs w:val="17"/>
          <w:lang w:bidi="x-none"/>
        </w:rPr>
        <w:t>darstell</w:t>
      </w:r>
      <w:r w:rsidR="00F57F8B" w:rsidRPr="00CA448F">
        <w:rPr>
          <w:rFonts w:ascii="Times New Roman" w:hAnsi="Times New Roman" w:cs="Times New Roman"/>
          <w:sz w:val="17"/>
          <w:szCs w:val="17"/>
          <w:lang w:bidi="x-none"/>
        </w:rPr>
        <w:t>en</w:t>
      </w:r>
      <w:r w:rsidRPr="00CA448F">
        <w:rPr>
          <w:rFonts w:ascii="Times New Roman" w:hAnsi="Times New Roman" w:cs="Times New Roman"/>
          <w:sz w:val="17"/>
          <w:szCs w:val="17"/>
          <w:lang w:bidi="x-none"/>
        </w:rPr>
        <w:t xml:space="preserve">. </w:t>
      </w:r>
      <w:r w:rsidR="002827B7" w:rsidRPr="00CA448F">
        <w:rPr>
          <w:rFonts w:ascii="Times New Roman" w:hAnsi="Times New Roman" w:cs="Times New Roman"/>
          <w:sz w:val="17"/>
          <w:szCs w:val="17"/>
          <w:lang w:bidi="x-none"/>
        </w:rPr>
        <w:t>Die Verwertung von Beweisen, die durch eine unmenschliche und erniedrigende Behandlung i.S.v. Art. 3 EMRK erlangt wurden, kann</w:t>
      </w:r>
      <w:r w:rsidRPr="00CA448F">
        <w:rPr>
          <w:sz w:val="17"/>
          <w:szCs w:val="17"/>
        </w:rPr>
        <w:t xml:space="preserve"> </w:t>
      </w:r>
      <w:r w:rsidR="002827B7" w:rsidRPr="00CA448F">
        <w:rPr>
          <w:sz w:val="17"/>
          <w:szCs w:val="17"/>
        </w:rPr>
        <w:t>sodann den</w:t>
      </w:r>
      <w:r w:rsidRPr="00CA448F">
        <w:rPr>
          <w:sz w:val="17"/>
          <w:szCs w:val="17"/>
        </w:rPr>
        <w:t xml:space="preserve"> Grundsatz des </w:t>
      </w:r>
      <w:r w:rsidR="004425C3">
        <w:rPr>
          <w:b/>
          <w:sz w:val="17"/>
          <w:szCs w:val="17"/>
        </w:rPr>
        <w:t>F</w:t>
      </w:r>
      <w:r w:rsidRPr="00CA448F">
        <w:rPr>
          <w:b/>
          <w:sz w:val="17"/>
          <w:szCs w:val="17"/>
        </w:rPr>
        <w:t>air</w:t>
      </w:r>
      <w:r w:rsidR="004425C3">
        <w:rPr>
          <w:b/>
          <w:sz w:val="17"/>
          <w:szCs w:val="17"/>
        </w:rPr>
        <w:t>-</w:t>
      </w:r>
      <w:r w:rsidRPr="00CA448F">
        <w:rPr>
          <w:b/>
          <w:sz w:val="17"/>
          <w:szCs w:val="17"/>
        </w:rPr>
        <w:t>trial</w:t>
      </w:r>
      <w:r w:rsidRPr="00CA448F">
        <w:rPr>
          <w:sz w:val="17"/>
          <w:szCs w:val="17"/>
        </w:rPr>
        <w:t xml:space="preserve"> </w:t>
      </w:r>
      <w:r w:rsidR="00851111" w:rsidRPr="00CA448F">
        <w:rPr>
          <w:sz w:val="17"/>
          <w:szCs w:val="17"/>
        </w:rPr>
        <w:t xml:space="preserve">nach </w:t>
      </w:r>
      <w:r w:rsidRPr="00CA448F">
        <w:rPr>
          <w:b/>
          <w:sz w:val="17"/>
          <w:szCs w:val="17"/>
        </w:rPr>
        <w:t xml:space="preserve">Art. 6 EMRK </w:t>
      </w:r>
      <w:r w:rsidRPr="00CA448F">
        <w:rPr>
          <w:sz w:val="17"/>
          <w:szCs w:val="17"/>
        </w:rPr>
        <w:t>verletzt</w:t>
      </w:r>
      <w:r w:rsidR="002827B7" w:rsidRPr="00CA448F">
        <w:rPr>
          <w:sz w:val="17"/>
          <w:szCs w:val="17"/>
        </w:rPr>
        <w:t>en</w:t>
      </w:r>
      <w:r w:rsidRPr="00CA448F">
        <w:rPr>
          <w:sz w:val="17"/>
          <w:szCs w:val="17"/>
        </w:rPr>
        <w:t xml:space="preserve">. </w:t>
      </w:r>
      <w:r w:rsidR="00CA448F" w:rsidRPr="00CA448F">
        <w:rPr>
          <w:sz w:val="17"/>
          <w:szCs w:val="17"/>
        </w:rPr>
        <w:t xml:space="preserve">Der EGMR ließ offen, ob </w:t>
      </w:r>
      <w:r w:rsidR="003B2A31">
        <w:rPr>
          <w:sz w:val="17"/>
          <w:szCs w:val="17"/>
        </w:rPr>
        <w:t>i</w:t>
      </w:r>
      <w:r w:rsidR="00CA448F" w:rsidRPr="00CA448F">
        <w:rPr>
          <w:sz w:val="17"/>
          <w:szCs w:val="17"/>
        </w:rPr>
        <w:t>m vorliegenden Fall die Verwertung von Beweisen, die durch eine unmenschliche und erniedrigende Behandlung erlangt wurden, das Verfahren automatisch unfair macht</w:t>
      </w:r>
      <w:r w:rsidR="00CA448F">
        <w:rPr>
          <w:sz w:val="17"/>
          <w:szCs w:val="17"/>
        </w:rPr>
        <w:t>, in konkreten Fall nahm er dies aber an (</w:t>
      </w:r>
      <w:r w:rsidR="00CA448F" w:rsidRPr="00593C3C">
        <w:rPr>
          <w:b/>
          <w:bCs/>
          <w:sz w:val="17"/>
          <w:szCs w:val="17"/>
        </w:rPr>
        <w:t>EGMR NJW 2006, 3117</w:t>
      </w:r>
      <w:r w:rsidR="00CA448F">
        <w:rPr>
          <w:sz w:val="17"/>
          <w:szCs w:val="17"/>
        </w:rPr>
        <w:t>).</w:t>
      </w:r>
    </w:p>
    <w:p w14:paraId="3C76E9DD" w14:textId="502358BB" w:rsidR="00F5462D" w:rsidRPr="009111A3" w:rsidRDefault="00F5462D" w:rsidP="00837E60">
      <w:pPr>
        <w:widowControl/>
        <w:tabs>
          <w:tab w:val="left" w:pos="-720"/>
          <w:tab w:val="left" w:pos="288"/>
          <w:tab w:val="left" w:pos="567"/>
          <w:tab w:val="left" w:pos="864"/>
          <w:tab w:val="left" w:pos="1116"/>
          <w:tab w:val="left" w:pos="1404"/>
          <w:tab w:val="left" w:pos="1692"/>
          <w:tab w:val="left" w:pos="1980"/>
          <w:tab w:val="left" w:pos="2268"/>
          <w:tab w:val="left" w:pos="2880"/>
        </w:tabs>
        <w:spacing w:before="120"/>
        <w:ind w:left="284" w:hanging="284"/>
        <w:jc w:val="both"/>
        <w:rPr>
          <w:rFonts w:ascii="Times New Roman" w:hAnsi="Times New Roman"/>
          <w:spacing w:val="-2"/>
          <w:sz w:val="17"/>
          <w:szCs w:val="17"/>
        </w:rPr>
      </w:pPr>
      <w:r w:rsidRPr="00DE2712">
        <w:rPr>
          <w:rFonts w:ascii="Times New Roman" w:hAnsi="Times New Roman"/>
          <w:b/>
          <w:spacing w:val="-2"/>
          <w:sz w:val="17"/>
          <w:szCs w:val="17"/>
        </w:rPr>
        <w:t>III.</w:t>
      </w:r>
      <w:r w:rsidRPr="00DE2712">
        <w:rPr>
          <w:rFonts w:ascii="Times New Roman" w:hAnsi="Times New Roman"/>
          <w:b/>
          <w:spacing w:val="-2"/>
          <w:sz w:val="17"/>
          <w:szCs w:val="17"/>
        </w:rPr>
        <w:tab/>
        <w:t>DNA-Analyse:</w:t>
      </w:r>
      <w:r w:rsidRPr="00DE2712">
        <w:rPr>
          <w:rFonts w:ascii="Times New Roman" w:hAnsi="Times New Roman"/>
          <w:spacing w:val="-2"/>
          <w:sz w:val="17"/>
          <w:szCs w:val="17"/>
        </w:rPr>
        <w:t xml:space="preserve"> Die §§ 81e ff. StPO regeln die molekulargenetische Untersuchung des Beschuldigten durch DNA-Analyse, DNA-Identitätsfeststellung und DNA-Speicherung. </w:t>
      </w:r>
      <w:r w:rsidRPr="00DE2712">
        <w:rPr>
          <w:rFonts w:ascii="Times New Roman" w:hAnsi="Times New Roman" w:cs="Times New Roman"/>
          <w:sz w:val="17"/>
          <w:szCs w:val="17"/>
          <w:lang w:bidi="x-none"/>
        </w:rPr>
        <w:t>Gemäß § 81e I </w:t>
      </w:r>
      <w:r w:rsidR="00AD5DA4">
        <w:rPr>
          <w:rFonts w:ascii="Times New Roman" w:hAnsi="Times New Roman" w:cs="Times New Roman"/>
          <w:sz w:val="17"/>
          <w:szCs w:val="17"/>
          <w:lang w:bidi="x-none"/>
        </w:rPr>
        <w:t xml:space="preserve">1 </w:t>
      </w:r>
      <w:r w:rsidRPr="00DE2712">
        <w:rPr>
          <w:rFonts w:ascii="Times New Roman" w:hAnsi="Times New Roman" w:cs="Times New Roman"/>
          <w:sz w:val="17"/>
          <w:szCs w:val="17"/>
          <w:lang w:bidi="x-none"/>
        </w:rPr>
        <w:t xml:space="preserve">StPO dürfen an dem durch Maßnahmen nach § 81a I StPO </w:t>
      </w:r>
      <w:r w:rsidR="00267542" w:rsidRPr="00DE2712">
        <w:rPr>
          <w:rFonts w:ascii="Times New Roman" w:hAnsi="Times New Roman" w:cs="Times New Roman"/>
          <w:sz w:val="17"/>
          <w:szCs w:val="17"/>
          <w:lang w:bidi="x-none"/>
        </w:rPr>
        <w:t>oder §</w:t>
      </w:r>
      <w:r w:rsidR="00837E60">
        <w:rPr>
          <w:rFonts w:ascii="Times New Roman" w:hAnsi="Times New Roman" w:cs="Times New Roman"/>
          <w:sz w:val="17"/>
          <w:szCs w:val="17"/>
          <w:lang w:bidi="x-none"/>
        </w:rPr>
        <w:t> </w:t>
      </w:r>
      <w:r w:rsidR="00267542" w:rsidRPr="00DE2712">
        <w:rPr>
          <w:rFonts w:ascii="Times New Roman" w:hAnsi="Times New Roman" w:cs="Times New Roman"/>
          <w:sz w:val="17"/>
          <w:szCs w:val="17"/>
          <w:lang w:bidi="x-none"/>
        </w:rPr>
        <w:t xml:space="preserve">81c StPO </w:t>
      </w:r>
      <w:r w:rsidRPr="00DE2712">
        <w:rPr>
          <w:rFonts w:ascii="Times New Roman" w:hAnsi="Times New Roman" w:cs="Times New Roman"/>
          <w:sz w:val="17"/>
          <w:szCs w:val="17"/>
          <w:lang w:bidi="x-none"/>
        </w:rPr>
        <w:t xml:space="preserve">erlangten Material </w:t>
      </w:r>
      <w:r w:rsidR="00267542" w:rsidRPr="00DE2712">
        <w:rPr>
          <w:rFonts w:ascii="Times New Roman" w:hAnsi="Times New Roman" w:cs="Times New Roman"/>
          <w:sz w:val="17"/>
          <w:szCs w:val="17"/>
          <w:lang w:bidi="x-none"/>
        </w:rPr>
        <w:t xml:space="preserve">mittels </w:t>
      </w:r>
      <w:r w:rsidRPr="00DE2712">
        <w:rPr>
          <w:rFonts w:ascii="Times New Roman" w:hAnsi="Times New Roman" w:cs="Times New Roman"/>
          <w:sz w:val="17"/>
          <w:szCs w:val="17"/>
          <w:lang w:bidi="x-none"/>
        </w:rPr>
        <w:t>molekulargenetische</w:t>
      </w:r>
      <w:r w:rsidR="00267542" w:rsidRPr="00DE2712">
        <w:rPr>
          <w:rFonts w:ascii="Times New Roman" w:hAnsi="Times New Roman" w:cs="Times New Roman"/>
          <w:sz w:val="17"/>
          <w:szCs w:val="17"/>
          <w:lang w:bidi="x-none"/>
        </w:rPr>
        <w:t>r</w:t>
      </w:r>
      <w:r w:rsidRPr="00DE2712">
        <w:rPr>
          <w:rFonts w:ascii="Times New Roman" w:hAnsi="Times New Roman" w:cs="Times New Roman"/>
          <w:sz w:val="17"/>
          <w:szCs w:val="17"/>
          <w:lang w:bidi="x-none"/>
        </w:rPr>
        <w:t xml:space="preserve"> Untersuchung</w:t>
      </w:r>
      <w:r w:rsidR="00267542" w:rsidRPr="00DE2712">
        <w:rPr>
          <w:rFonts w:ascii="Times New Roman" w:hAnsi="Times New Roman" w:cs="Times New Roman"/>
          <w:sz w:val="17"/>
          <w:szCs w:val="17"/>
          <w:lang w:bidi="x-none"/>
        </w:rPr>
        <w:t xml:space="preserve"> </w:t>
      </w:r>
      <w:r w:rsidR="00267542" w:rsidRPr="00DE2712">
        <w:rPr>
          <w:sz w:val="17"/>
          <w:szCs w:val="17"/>
        </w:rPr>
        <w:t>das DNA-Identifizierungsmuster, die Abstammung und das Geschlecht der Person festgestellt und diese Feststellungen mit Vergleichsmaterial abgeglichen werden, soweit dies zur Erforschung des Sachverhalts erforderlich ist.</w:t>
      </w:r>
      <w:r w:rsidR="00267542" w:rsidRPr="00DE2712">
        <w:rPr>
          <w:rFonts w:ascii="Times New Roman" w:hAnsi="Times New Roman" w:cs="Times New Roman"/>
          <w:sz w:val="17"/>
          <w:szCs w:val="17"/>
          <w:lang w:bidi="x-none"/>
        </w:rPr>
        <w:t xml:space="preserve"> </w:t>
      </w:r>
      <w:r w:rsidRPr="00DE2712">
        <w:rPr>
          <w:rFonts w:ascii="Times New Roman" w:hAnsi="Times New Roman" w:cs="Times New Roman"/>
          <w:sz w:val="17"/>
          <w:szCs w:val="17"/>
          <w:lang w:bidi="x-none"/>
        </w:rPr>
        <w:t>§ 81e I </w:t>
      </w:r>
      <w:r w:rsidR="00267542" w:rsidRPr="00DE2712">
        <w:rPr>
          <w:rFonts w:ascii="Times New Roman" w:hAnsi="Times New Roman" w:cs="Times New Roman"/>
          <w:sz w:val="17"/>
          <w:szCs w:val="17"/>
          <w:lang w:bidi="x-none"/>
        </w:rPr>
        <w:t>2 </w:t>
      </w:r>
      <w:r w:rsidRPr="00DE2712">
        <w:rPr>
          <w:rFonts w:ascii="Times New Roman" w:hAnsi="Times New Roman" w:cs="Times New Roman"/>
          <w:sz w:val="17"/>
          <w:szCs w:val="17"/>
          <w:lang w:bidi="x-none"/>
        </w:rPr>
        <w:t xml:space="preserve">StPO enthält sodann ein ausdrückliches Beweiserhebungsverbot im Hinblick auf die Feststellung sonstiger, nicht genannter Tatsachen. Nach § 81f StPO </w:t>
      </w:r>
      <w:r w:rsidR="00BF52A3">
        <w:rPr>
          <w:rFonts w:ascii="Times New Roman" w:hAnsi="Times New Roman" w:cs="Times New Roman"/>
          <w:sz w:val="17"/>
          <w:szCs w:val="17"/>
          <w:lang w:bidi="x-none"/>
        </w:rPr>
        <w:t>ist</w:t>
      </w:r>
      <w:r w:rsidR="00BF52A3" w:rsidRPr="00DE2712">
        <w:rPr>
          <w:rFonts w:ascii="Times New Roman" w:hAnsi="Times New Roman" w:cs="Times New Roman"/>
          <w:sz w:val="17"/>
          <w:szCs w:val="17"/>
          <w:lang w:bidi="x-none"/>
        </w:rPr>
        <w:t xml:space="preserve"> </w:t>
      </w:r>
      <w:r w:rsidRPr="00DE2712">
        <w:rPr>
          <w:rFonts w:ascii="Times New Roman" w:hAnsi="Times New Roman" w:cs="Times New Roman"/>
          <w:sz w:val="17"/>
          <w:szCs w:val="17"/>
          <w:lang w:bidi="x-none"/>
        </w:rPr>
        <w:t xml:space="preserve">der Richter bzw. </w:t>
      </w:r>
      <w:r w:rsidR="00BF52A3">
        <w:rPr>
          <w:rFonts w:ascii="Times New Roman" w:hAnsi="Times New Roman" w:cs="Times New Roman"/>
          <w:sz w:val="17"/>
          <w:szCs w:val="17"/>
          <w:lang w:bidi="x-none"/>
        </w:rPr>
        <w:t xml:space="preserve">sind </w:t>
      </w:r>
      <w:r w:rsidRPr="00DE2712">
        <w:rPr>
          <w:rFonts w:ascii="Times New Roman" w:hAnsi="Times New Roman" w:cs="Times New Roman"/>
          <w:sz w:val="17"/>
          <w:szCs w:val="17"/>
          <w:lang w:bidi="x-none"/>
        </w:rPr>
        <w:t xml:space="preserve">bei Gefahr im Verzug die StA </w:t>
      </w:r>
      <w:r w:rsidR="00DC2D00" w:rsidRPr="00DE2712">
        <w:rPr>
          <w:rFonts w:ascii="Times New Roman" w:hAnsi="Times New Roman" w:cs="Times New Roman"/>
          <w:sz w:val="17"/>
          <w:szCs w:val="17"/>
          <w:lang w:bidi="x-none"/>
        </w:rPr>
        <w:t xml:space="preserve">und ihre Ermittlungspersonen </w:t>
      </w:r>
      <w:r w:rsidRPr="00DE2712">
        <w:rPr>
          <w:rFonts w:ascii="Times New Roman" w:hAnsi="Times New Roman" w:cs="Times New Roman"/>
          <w:sz w:val="17"/>
          <w:szCs w:val="17"/>
          <w:lang w:bidi="x-none"/>
        </w:rPr>
        <w:t xml:space="preserve">zur Anordnung berechtigt. </w:t>
      </w:r>
      <w:r w:rsidRPr="00DE2712">
        <w:rPr>
          <w:rFonts w:ascii="Times New Roman" w:hAnsi="Times New Roman"/>
          <w:spacing w:val="-2"/>
          <w:sz w:val="17"/>
          <w:szCs w:val="17"/>
        </w:rPr>
        <w:t xml:space="preserve">Besonders wichtig ist hierbei ferner § 81g StPO. Hiernach dürfen dem Beschuldigten bei Straftaten von erheblicher Bedeutung oder solchen gegen die sexuelle Selbstbestimmung </w:t>
      </w:r>
      <w:r w:rsidRPr="00DE2712">
        <w:rPr>
          <w:rFonts w:ascii="Times New Roman" w:hAnsi="Times New Roman" w:cs="Times New Roman"/>
          <w:sz w:val="17"/>
          <w:szCs w:val="17"/>
          <w:lang w:bidi="x-none"/>
        </w:rPr>
        <w:t xml:space="preserve">zur Identitätsfeststellung </w:t>
      </w:r>
      <w:r w:rsidRPr="00DE2712">
        <w:rPr>
          <w:rFonts w:ascii="Times New Roman" w:hAnsi="Times New Roman" w:cs="Times New Roman"/>
          <w:b/>
          <w:sz w:val="17"/>
          <w:szCs w:val="17"/>
          <w:lang w:bidi="x-none"/>
        </w:rPr>
        <w:t>in künftigen Strafverfahren</w:t>
      </w:r>
      <w:r w:rsidRPr="00DE2712">
        <w:rPr>
          <w:rFonts w:ascii="Times New Roman" w:hAnsi="Times New Roman" w:cs="Times New Roman"/>
          <w:sz w:val="17"/>
          <w:szCs w:val="17"/>
          <w:lang w:bidi="x-none"/>
        </w:rPr>
        <w:t xml:space="preserve"> Körperzellen entnommen und zur Feststellung des DNA-Identifizierungsmusters sowie des Geschlechts molekulargenetisch untersucht werden, wenn wegen der Art oder Ausführung der Tat, der Persönlichkeit des Beschuldigten oder sonstiger Erkenntnisse Grund zu der Annahme besteht, dass gegen ihn künftig Strafverfahren wegen einer Straftat von erheblicher Bedeutung zu führen sind</w:t>
      </w:r>
      <w:r w:rsidR="006405CB">
        <w:rPr>
          <w:rFonts w:ascii="Times New Roman" w:hAnsi="Times New Roman" w:cs="Times New Roman"/>
          <w:sz w:val="17"/>
          <w:szCs w:val="17"/>
          <w:lang w:bidi="x-none"/>
        </w:rPr>
        <w:t xml:space="preserve">, </w:t>
      </w:r>
      <w:r w:rsidR="009A05F1">
        <w:rPr>
          <w:rFonts w:ascii="Times New Roman" w:hAnsi="Times New Roman" w:cs="Times New Roman"/>
          <w:sz w:val="17"/>
          <w:szCs w:val="17"/>
          <w:lang w:bidi="x-none"/>
        </w:rPr>
        <w:t>§ 81g I</w:t>
      </w:r>
      <w:r w:rsidR="00837E60">
        <w:rPr>
          <w:rFonts w:ascii="Times New Roman" w:hAnsi="Times New Roman" w:cs="Times New Roman"/>
          <w:sz w:val="17"/>
          <w:szCs w:val="17"/>
          <w:lang w:bidi="x-none"/>
        </w:rPr>
        <w:t xml:space="preserve"> StPO</w:t>
      </w:r>
      <w:r w:rsidRPr="00DE2712">
        <w:rPr>
          <w:rFonts w:ascii="Times New Roman" w:hAnsi="Times New Roman" w:cs="Times New Roman"/>
          <w:sz w:val="17"/>
          <w:szCs w:val="17"/>
          <w:lang w:bidi="x-none"/>
        </w:rPr>
        <w:t xml:space="preserve">. § 81g II StPO enthält eine explizite Beschränkung auf die in Abs. 1 genannte molekulargenetische Untersuchung. </w:t>
      </w:r>
      <w:r w:rsidR="00773AAD" w:rsidRPr="00773AAD">
        <w:rPr>
          <w:rFonts w:ascii="Times New Roman" w:hAnsi="Times New Roman" w:cs="Times New Roman"/>
          <w:sz w:val="17"/>
          <w:szCs w:val="17"/>
          <w:lang w:bidi="x-none"/>
        </w:rPr>
        <w:t>Die Anordnungsbefugnis ergibt sich aus §</w:t>
      </w:r>
      <w:r w:rsidR="00837E60">
        <w:rPr>
          <w:rFonts w:ascii="Times New Roman" w:hAnsi="Times New Roman" w:cs="Times New Roman"/>
          <w:sz w:val="17"/>
          <w:szCs w:val="17"/>
          <w:lang w:bidi="x-none"/>
        </w:rPr>
        <w:t> </w:t>
      </w:r>
      <w:r w:rsidR="00773AAD" w:rsidRPr="00773AAD">
        <w:rPr>
          <w:rFonts w:ascii="Times New Roman" w:hAnsi="Times New Roman" w:cs="Times New Roman"/>
          <w:sz w:val="17"/>
          <w:szCs w:val="17"/>
          <w:lang w:bidi="x-none"/>
        </w:rPr>
        <w:t xml:space="preserve">81g </w:t>
      </w:r>
      <w:r w:rsidR="00773AAD">
        <w:rPr>
          <w:rFonts w:ascii="Times New Roman" w:hAnsi="Times New Roman" w:cs="Times New Roman"/>
          <w:sz w:val="17"/>
          <w:szCs w:val="17"/>
          <w:lang w:bidi="x-none"/>
        </w:rPr>
        <w:t xml:space="preserve">III </w:t>
      </w:r>
      <w:r w:rsidR="00773AAD" w:rsidRPr="00773AAD">
        <w:rPr>
          <w:rFonts w:ascii="Times New Roman" w:hAnsi="Times New Roman" w:cs="Times New Roman"/>
          <w:sz w:val="17"/>
          <w:szCs w:val="17"/>
          <w:lang w:bidi="x-none"/>
        </w:rPr>
        <w:t xml:space="preserve">StPO. </w:t>
      </w:r>
      <w:r w:rsidRPr="00DE2712">
        <w:rPr>
          <w:rFonts w:ascii="Times New Roman" w:hAnsi="Times New Roman" w:cs="Times New Roman"/>
          <w:sz w:val="17"/>
          <w:szCs w:val="17"/>
          <w:lang w:bidi="x-none"/>
        </w:rPr>
        <w:t xml:space="preserve">Auch hier ist zu fragen, wie sich eventuelle Verfahrensfehler auf die Verwertbarkeit der Daten auswirken. Hier ist noch Vieles ungeklärt. </w:t>
      </w:r>
      <w:r w:rsidRPr="00DE2712">
        <w:rPr>
          <w:rFonts w:ascii="Times New Roman" w:hAnsi="Times New Roman"/>
          <w:spacing w:val="-2"/>
          <w:sz w:val="17"/>
          <w:szCs w:val="17"/>
        </w:rPr>
        <w:t xml:space="preserve">Wendet man die bereits an anderer Stelle dargestellten Theorien (vgl. dazu Arbeitsblatt </w:t>
      </w:r>
      <w:r w:rsidR="00AD5DA4">
        <w:rPr>
          <w:rFonts w:ascii="Times New Roman" w:hAnsi="Times New Roman"/>
          <w:spacing w:val="-2"/>
          <w:sz w:val="17"/>
          <w:szCs w:val="17"/>
        </w:rPr>
        <w:t>Nr.</w:t>
      </w:r>
      <w:r w:rsidR="00837E60">
        <w:rPr>
          <w:rFonts w:ascii="Times New Roman" w:hAnsi="Times New Roman"/>
          <w:spacing w:val="-2"/>
          <w:sz w:val="17"/>
          <w:szCs w:val="17"/>
        </w:rPr>
        <w:t> </w:t>
      </w:r>
      <w:r w:rsidRPr="00DE2712">
        <w:rPr>
          <w:rFonts w:ascii="Times New Roman" w:hAnsi="Times New Roman"/>
          <w:spacing w:val="-2"/>
          <w:sz w:val="17"/>
          <w:szCs w:val="17"/>
        </w:rPr>
        <w:t xml:space="preserve">26) an, so ist ein </w:t>
      </w:r>
      <w:r w:rsidRPr="00DE2712">
        <w:rPr>
          <w:rFonts w:ascii="Times New Roman" w:hAnsi="Times New Roman"/>
          <w:b/>
          <w:spacing w:val="-2"/>
          <w:sz w:val="17"/>
          <w:szCs w:val="17"/>
        </w:rPr>
        <w:t>Beweisverwertungsverbot</w:t>
      </w:r>
      <w:r w:rsidRPr="00DE2712">
        <w:rPr>
          <w:rFonts w:ascii="Times New Roman" w:hAnsi="Times New Roman"/>
          <w:spacing w:val="-2"/>
          <w:sz w:val="17"/>
          <w:szCs w:val="17"/>
        </w:rPr>
        <w:t xml:space="preserve"> jedenfalls dann zu bejahen, </w:t>
      </w:r>
      <w:r w:rsidRPr="00DE2712">
        <w:rPr>
          <w:rFonts w:ascii="Times New Roman" w:hAnsi="Times New Roman" w:cs="Times New Roman"/>
          <w:sz w:val="17"/>
          <w:szCs w:val="17"/>
          <w:lang w:bidi="x-none"/>
        </w:rPr>
        <w:t>wenn die Tatbestandsvoraussetzungen einer solchen Anordnung nicht vorlagen. D</w:t>
      </w:r>
      <w:r w:rsidRPr="00DE2712">
        <w:rPr>
          <w:rFonts w:ascii="Times New Roman" w:hAnsi="Times New Roman"/>
          <w:spacing w:val="-2"/>
          <w:sz w:val="17"/>
          <w:szCs w:val="17"/>
        </w:rPr>
        <w:t xml:space="preserve">enn wenn man die Grundrechte des Betroffenen und das staatliche Interesse an der Strafverfolgung gegenüberstellt, so überwiegen die Rechte des Betroffenen, weil diese diesbzgl. als besonders gewichtig zu bewerten sind. Auch der Schutzzweck der Norm gebietet eine Unverwertbarkeit des genetischen Materials. Schließlich berührt der Verstoß den Rechtskreis des Beschuldigten. </w:t>
      </w:r>
      <w:r w:rsidRPr="00DE2712">
        <w:rPr>
          <w:rFonts w:ascii="Times New Roman" w:hAnsi="Times New Roman" w:cs="Times New Roman"/>
          <w:sz w:val="17"/>
          <w:szCs w:val="17"/>
          <w:lang w:bidi="x-none"/>
        </w:rPr>
        <w:t>Den Behörden muss allerdings auch hier ein gewisser Beurteilungsspielraum verbleiben.</w:t>
      </w:r>
    </w:p>
    <w:p w14:paraId="38F696FB" w14:textId="77777777" w:rsidR="00F5462D" w:rsidRPr="008E09D4" w:rsidRDefault="00F5462D" w:rsidP="00F5462D">
      <w:pPr>
        <w:widowControl/>
        <w:tabs>
          <w:tab w:val="left" w:pos="-720"/>
          <w:tab w:val="left" w:pos="288"/>
          <w:tab w:val="left" w:pos="567"/>
          <w:tab w:val="left" w:pos="864"/>
          <w:tab w:val="left" w:pos="1116"/>
          <w:tab w:val="left" w:pos="1404"/>
          <w:tab w:val="left" w:pos="1692"/>
          <w:tab w:val="left" w:pos="1980"/>
          <w:tab w:val="left" w:pos="2268"/>
          <w:tab w:val="left" w:pos="2880"/>
        </w:tabs>
        <w:jc w:val="both"/>
        <w:rPr>
          <w:rFonts w:ascii="Times New Roman" w:hAnsi="Times New Roman"/>
          <w:b/>
          <w:spacing w:val="-2"/>
          <w:sz w:val="16"/>
          <w:szCs w:val="16"/>
        </w:rPr>
      </w:pPr>
    </w:p>
    <w:p w14:paraId="670AF0E6" w14:textId="770FEFBF" w:rsidR="00F5462D" w:rsidRPr="00773AAD" w:rsidRDefault="00F5462D" w:rsidP="00F5462D">
      <w:pPr>
        <w:widowControl/>
        <w:tabs>
          <w:tab w:val="left" w:pos="-720"/>
          <w:tab w:val="left" w:pos="288"/>
          <w:tab w:val="left" w:pos="567"/>
          <w:tab w:val="left" w:pos="864"/>
          <w:tab w:val="left" w:pos="1116"/>
          <w:tab w:val="left" w:pos="1404"/>
          <w:tab w:val="left" w:pos="1692"/>
          <w:tab w:val="left" w:pos="1980"/>
          <w:tab w:val="left" w:pos="2268"/>
          <w:tab w:val="left" w:pos="2880"/>
        </w:tabs>
        <w:jc w:val="both"/>
        <w:rPr>
          <w:rFonts w:ascii="Times New Roman" w:hAnsi="Times New Roman"/>
          <w:spacing w:val="-2"/>
          <w:sz w:val="14"/>
          <w:szCs w:val="14"/>
        </w:rPr>
      </w:pPr>
      <w:r w:rsidRPr="00773AAD">
        <w:rPr>
          <w:rFonts w:ascii="Times New Roman" w:hAnsi="Times New Roman"/>
          <w:b/>
          <w:spacing w:val="-2"/>
          <w:sz w:val="14"/>
          <w:szCs w:val="14"/>
        </w:rPr>
        <w:t xml:space="preserve">Literatur/Lehrbücher: </w:t>
      </w:r>
      <w:r w:rsidRPr="00773AAD">
        <w:rPr>
          <w:rFonts w:ascii="Times New Roman" w:hAnsi="Times New Roman"/>
          <w:b/>
          <w:spacing w:val="-2"/>
          <w:sz w:val="14"/>
          <w:szCs w:val="14"/>
        </w:rPr>
        <w:tab/>
      </w:r>
      <w:r w:rsidR="00773AAD">
        <w:rPr>
          <w:rFonts w:ascii="Times New Roman" w:hAnsi="Times New Roman"/>
          <w:b/>
          <w:spacing w:val="-2"/>
          <w:sz w:val="14"/>
          <w:szCs w:val="14"/>
        </w:rPr>
        <w:tab/>
      </w:r>
      <w:r w:rsidR="00DC1C39" w:rsidRPr="00773AAD">
        <w:rPr>
          <w:rFonts w:ascii="Times New Roman" w:hAnsi="Times New Roman"/>
          <w:i/>
          <w:spacing w:val="-2"/>
          <w:sz w:val="14"/>
          <w:szCs w:val="14"/>
        </w:rPr>
        <w:t>Heinrich/Reinbacher</w:t>
      </w:r>
      <w:r w:rsidR="00DC1C39" w:rsidRPr="00773AAD">
        <w:rPr>
          <w:rFonts w:ascii="Times New Roman" w:hAnsi="Times New Roman"/>
          <w:spacing w:val="-2"/>
          <w:sz w:val="14"/>
          <w:szCs w:val="14"/>
        </w:rPr>
        <w:t>, Examinatorium Strafprozessrecht,</w:t>
      </w:r>
      <w:r w:rsidR="003F43F6" w:rsidRPr="00773AAD">
        <w:rPr>
          <w:rFonts w:ascii="Times New Roman" w:hAnsi="Times New Roman"/>
          <w:spacing w:val="-2"/>
          <w:sz w:val="14"/>
          <w:szCs w:val="14"/>
        </w:rPr>
        <w:t xml:space="preserve"> </w:t>
      </w:r>
      <w:r w:rsidR="00933B82">
        <w:rPr>
          <w:rFonts w:ascii="Times New Roman" w:hAnsi="Times New Roman"/>
          <w:spacing w:val="-2"/>
          <w:sz w:val="14"/>
          <w:szCs w:val="14"/>
        </w:rPr>
        <w:t>4</w:t>
      </w:r>
      <w:r w:rsidR="003F43F6" w:rsidRPr="00773AAD">
        <w:rPr>
          <w:rFonts w:ascii="Times New Roman" w:hAnsi="Times New Roman"/>
          <w:spacing w:val="-2"/>
          <w:sz w:val="14"/>
          <w:szCs w:val="14"/>
        </w:rPr>
        <w:t>. Auflage 20</w:t>
      </w:r>
      <w:r w:rsidR="00773AAD" w:rsidRPr="00773AAD">
        <w:rPr>
          <w:rFonts w:ascii="Times New Roman" w:hAnsi="Times New Roman"/>
          <w:spacing w:val="-2"/>
          <w:sz w:val="14"/>
          <w:szCs w:val="14"/>
        </w:rPr>
        <w:t>2</w:t>
      </w:r>
      <w:r w:rsidR="00933B82">
        <w:rPr>
          <w:rFonts w:ascii="Times New Roman" w:hAnsi="Times New Roman"/>
          <w:spacing w:val="-2"/>
          <w:sz w:val="14"/>
          <w:szCs w:val="14"/>
        </w:rPr>
        <w:t>3</w:t>
      </w:r>
      <w:r w:rsidR="003F43F6" w:rsidRPr="00773AAD">
        <w:rPr>
          <w:rFonts w:ascii="Times New Roman" w:hAnsi="Times New Roman"/>
          <w:spacing w:val="-2"/>
          <w:sz w:val="14"/>
          <w:szCs w:val="14"/>
        </w:rPr>
        <w:t xml:space="preserve">, </w:t>
      </w:r>
      <w:r w:rsidR="00DC1C39" w:rsidRPr="00773AAD">
        <w:rPr>
          <w:rFonts w:ascii="Times New Roman" w:hAnsi="Times New Roman"/>
          <w:spacing w:val="-2"/>
          <w:sz w:val="14"/>
          <w:szCs w:val="14"/>
        </w:rPr>
        <w:t>Problem</w:t>
      </w:r>
      <w:r w:rsidR="00837E60">
        <w:rPr>
          <w:rFonts w:ascii="Times New Roman" w:hAnsi="Times New Roman"/>
          <w:spacing w:val="-2"/>
          <w:sz w:val="14"/>
          <w:szCs w:val="14"/>
        </w:rPr>
        <w:t> </w:t>
      </w:r>
      <w:r w:rsidR="00DC1C39" w:rsidRPr="00773AAD">
        <w:rPr>
          <w:rFonts w:ascii="Times New Roman" w:hAnsi="Times New Roman"/>
          <w:spacing w:val="-2"/>
          <w:sz w:val="14"/>
          <w:szCs w:val="14"/>
        </w:rPr>
        <w:t>30.</w:t>
      </w:r>
    </w:p>
    <w:p w14:paraId="29C89FF7" w14:textId="77777777" w:rsidR="00EB6027" w:rsidRPr="00773AAD" w:rsidRDefault="00EB6027" w:rsidP="00A37435">
      <w:pPr>
        <w:widowControl/>
        <w:tabs>
          <w:tab w:val="left" w:pos="-720"/>
          <w:tab w:val="left" w:pos="288"/>
          <w:tab w:val="left" w:pos="567"/>
          <w:tab w:val="left" w:pos="864"/>
          <w:tab w:val="left" w:pos="1116"/>
          <w:tab w:val="left" w:pos="1404"/>
          <w:tab w:val="left" w:pos="1692"/>
          <w:tab w:val="left" w:pos="1980"/>
          <w:tab w:val="left" w:pos="2268"/>
          <w:tab w:val="left" w:pos="2880"/>
        </w:tabs>
        <w:ind w:left="1692" w:hanging="1692"/>
        <w:jc w:val="both"/>
        <w:rPr>
          <w:rFonts w:ascii="Times New Roman" w:hAnsi="Times New Roman"/>
          <w:spacing w:val="-2"/>
          <w:sz w:val="14"/>
          <w:szCs w:val="14"/>
        </w:rPr>
      </w:pPr>
      <w:r w:rsidRPr="00773AAD">
        <w:rPr>
          <w:rFonts w:ascii="Times New Roman" w:hAnsi="Times New Roman"/>
          <w:b/>
          <w:spacing w:val="-2"/>
          <w:sz w:val="14"/>
          <w:szCs w:val="14"/>
        </w:rPr>
        <w:t>Literatur/Aufsätze:</w:t>
      </w:r>
      <w:r w:rsidRPr="00773AAD">
        <w:rPr>
          <w:rFonts w:ascii="Times New Roman" w:hAnsi="Times New Roman"/>
          <w:b/>
          <w:spacing w:val="-2"/>
          <w:sz w:val="14"/>
          <w:szCs w:val="14"/>
        </w:rPr>
        <w:tab/>
      </w:r>
      <w:r w:rsidRPr="00773AAD">
        <w:rPr>
          <w:rFonts w:ascii="Times New Roman" w:hAnsi="Times New Roman"/>
          <w:b/>
          <w:spacing w:val="-2"/>
          <w:sz w:val="14"/>
          <w:szCs w:val="14"/>
        </w:rPr>
        <w:tab/>
      </w:r>
      <w:r w:rsidRPr="00773AAD">
        <w:rPr>
          <w:rFonts w:ascii="Times New Roman" w:hAnsi="Times New Roman"/>
          <w:i/>
          <w:spacing w:val="-2"/>
          <w:sz w:val="14"/>
          <w:szCs w:val="14"/>
        </w:rPr>
        <w:t>Busch</w:t>
      </w:r>
      <w:r w:rsidRPr="00773AAD">
        <w:rPr>
          <w:rFonts w:ascii="Times New Roman" w:hAnsi="Times New Roman"/>
          <w:spacing w:val="-2"/>
          <w:sz w:val="14"/>
          <w:szCs w:val="14"/>
        </w:rPr>
        <w:t>, Verwertbarkeit von „</w:t>
      </w:r>
      <w:proofErr w:type="spellStart"/>
      <w:r w:rsidRPr="00773AAD">
        <w:rPr>
          <w:rFonts w:ascii="Times New Roman" w:hAnsi="Times New Roman"/>
          <w:spacing w:val="-2"/>
          <w:sz w:val="14"/>
          <w:szCs w:val="14"/>
        </w:rPr>
        <w:t>Beinahetreffern</w:t>
      </w:r>
      <w:proofErr w:type="spellEnd"/>
      <w:r w:rsidRPr="00773AAD">
        <w:rPr>
          <w:rFonts w:ascii="Times New Roman" w:hAnsi="Times New Roman"/>
          <w:spacing w:val="-2"/>
          <w:sz w:val="14"/>
          <w:szCs w:val="14"/>
        </w:rPr>
        <w:t>“ aus DNA-Reihenuntersuchungen, NJW 2013, 1771</w:t>
      </w:r>
      <w:r w:rsidR="000F389B" w:rsidRPr="00773AAD">
        <w:rPr>
          <w:rFonts w:ascii="Times New Roman" w:hAnsi="Times New Roman"/>
          <w:spacing w:val="-2"/>
          <w:sz w:val="14"/>
          <w:szCs w:val="14"/>
        </w:rPr>
        <w:t xml:space="preserve">; </w:t>
      </w:r>
      <w:r w:rsidR="000F389B" w:rsidRPr="00773AAD">
        <w:rPr>
          <w:rFonts w:ascii="Times New Roman" w:hAnsi="Times New Roman"/>
          <w:bCs/>
          <w:i/>
          <w:spacing w:val="-2"/>
          <w:sz w:val="14"/>
          <w:szCs w:val="14"/>
        </w:rPr>
        <w:t>Pichon</w:t>
      </w:r>
      <w:r w:rsidR="000F389B" w:rsidRPr="00773AAD">
        <w:rPr>
          <w:rFonts w:ascii="Times New Roman" w:hAnsi="Times New Roman"/>
          <w:bCs/>
          <w:spacing w:val="-2"/>
          <w:sz w:val="14"/>
          <w:szCs w:val="14"/>
        </w:rPr>
        <w:t>,</w:t>
      </w:r>
      <w:r w:rsidR="000F389B" w:rsidRPr="00773AAD">
        <w:rPr>
          <w:rFonts w:ascii="Times New Roman" w:hAnsi="Times New Roman"/>
          <w:b/>
          <w:bCs/>
          <w:spacing w:val="-2"/>
          <w:sz w:val="14"/>
          <w:szCs w:val="14"/>
        </w:rPr>
        <w:t xml:space="preserve"> </w:t>
      </w:r>
      <w:r w:rsidR="000F389B" w:rsidRPr="00773AAD">
        <w:rPr>
          <w:rFonts w:ascii="Times New Roman" w:hAnsi="Times New Roman"/>
          <w:bCs/>
          <w:spacing w:val="-2"/>
          <w:sz w:val="14"/>
          <w:szCs w:val="14"/>
        </w:rPr>
        <w:t>Unendliche Geschichte: Neues zum Richtervorbehalt bei Blutentnahmen (§ 8</w:t>
      </w:r>
      <w:r w:rsidR="001962CB" w:rsidRPr="00773AAD">
        <w:rPr>
          <w:rFonts w:ascii="Times New Roman" w:hAnsi="Times New Roman"/>
          <w:bCs/>
          <w:spacing w:val="-2"/>
          <w:sz w:val="14"/>
          <w:szCs w:val="14"/>
        </w:rPr>
        <w:t xml:space="preserve">1a Abs. 2 StPO), HRRS 2011, 472; </w:t>
      </w:r>
      <w:r w:rsidR="001962CB" w:rsidRPr="00773AAD">
        <w:rPr>
          <w:rFonts w:ascii="Times New Roman" w:hAnsi="Times New Roman"/>
          <w:bCs/>
          <w:i/>
          <w:spacing w:val="-2"/>
          <w:sz w:val="14"/>
          <w:szCs w:val="14"/>
        </w:rPr>
        <w:t>Schneider</w:t>
      </w:r>
      <w:r w:rsidR="001962CB" w:rsidRPr="00773AAD">
        <w:rPr>
          <w:rFonts w:ascii="Times New Roman" w:hAnsi="Times New Roman"/>
          <w:bCs/>
          <w:spacing w:val="-2"/>
          <w:sz w:val="14"/>
          <w:szCs w:val="14"/>
        </w:rPr>
        <w:t xml:space="preserve">, DNA-Analyse und Strafverfahren de lege ferenda, NStZ 2018, 692; </w:t>
      </w:r>
      <w:r w:rsidR="000F389B" w:rsidRPr="00773AAD">
        <w:rPr>
          <w:rFonts w:ascii="Times New Roman" w:hAnsi="Times New Roman"/>
          <w:bCs/>
          <w:i/>
          <w:spacing w:val="-2"/>
          <w:sz w:val="14"/>
          <w:szCs w:val="14"/>
        </w:rPr>
        <w:t>Schumann</w:t>
      </w:r>
      <w:r w:rsidR="000F389B" w:rsidRPr="00773AAD">
        <w:rPr>
          <w:rFonts w:ascii="Times New Roman" w:hAnsi="Times New Roman"/>
          <w:bCs/>
          <w:spacing w:val="-2"/>
          <w:sz w:val="14"/>
          <w:szCs w:val="14"/>
        </w:rPr>
        <w:t xml:space="preserve">, Brechmitteleinsatz ist </w:t>
      </w:r>
      <w:proofErr w:type="gramStart"/>
      <w:r w:rsidR="000F389B" w:rsidRPr="00773AAD">
        <w:rPr>
          <w:rFonts w:ascii="Times New Roman" w:hAnsi="Times New Roman"/>
          <w:bCs/>
          <w:spacing w:val="-2"/>
          <w:sz w:val="14"/>
          <w:szCs w:val="14"/>
        </w:rPr>
        <w:t>Folter</w:t>
      </w:r>
      <w:r w:rsidR="007214F0" w:rsidRPr="00773AAD">
        <w:rPr>
          <w:rFonts w:ascii="Times New Roman" w:hAnsi="Times New Roman"/>
          <w:bCs/>
          <w:spacing w:val="-2"/>
          <w:sz w:val="14"/>
          <w:szCs w:val="14"/>
        </w:rPr>
        <w:t>?</w:t>
      </w:r>
      <w:r w:rsidR="000F389B" w:rsidRPr="00773AAD">
        <w:rPr>
          <w:rFonts w:ascii="Times New Roman" w:hAnsi="Times New Roman"/>
          <w:bCs/>
          <w:spacing w:val="-2"/>
          <w:sz w:val="14"/>
          <w:szCs w:val="14"/>
        </w:rPr>
        <w:t>,</w:t>
      </w:r>
      <w:proofErr w:type="gramEnd"/>
      <w:r w:rsidR="000F389B" w:rsidRPr="00773AAD">
        <w:rPr>
          <w:rFonts w:ascii="Times New Roman" w:hAnsi="Times New Roman"/>
          <w:bCs/>
          <w:spacing w:val="-2"/>
          <w:sz w:val="14"/>
          <w:szCs w:val="14"/>
        </w:rPr>
        <w:t xml:space="preserve"> StV 2006, 661.</w:t>
      </w:r>
    </w:p>
    <w:p w14:paraId="10AD9C9A" w14:textId="6FD059F1" w:rsidR="00F5462D" w:rsidRPr="00773AAD" w:rsidRDefault="00F5462D" w:rsidP="00F5462D">
      <w:pPr>
        <w:widowControl/>
        <w:tabs>
          <w:tab w:val="left" w:pos="-720"/>
          <w:tab w:val="left" w:pos="288"/>
          <w:tab w:val="left" w:pos="567"/>
          <w:tab w:val="left" w:pos="864"/>
          <w:tab w:val="left" w:pos="1116"/>
          <w:tab w:val="left" w:pos="1404"/>
          <w:tab w:val="left" w:pos="1701"/>
          <w:tab w:val="left" w:pos="2880"/>
        </w:tabs>
        <w:ind w:left="1701" w:hanging="1701"/>
        <w:jc w:val="both"/>
        <w:rPr>
          <w:rFonts w:ascii="Times New Roman" w:hAnsi="Times New Roman"/>
          <w:sz w:val="14"/>
          <w:szCs w:val="14"/>
        </w:rPr>
      </w:pPr>
      <w:r w:rsidRPr="00773AAD">
        <w:rPr>
          <w:rFonts w:ascii="Times New Roman" w:hAnsi="Times New Roman"/>
          <w:b/>
          <w:spacing w:val="-2"/>
          <w:sz w:val="14"/>
          <w:szCs w:val="14"/>
        </w:rPr>
        <w:t xml:space="preserve">Rechtsprechung: </w:t>
      </w:r>
      <w:r w:rsidRPr="00773AAD">
        <w:rPr>
          <w:rFonts w:ascii="Times New Roman" w:hAnsi="Times New Roman"/>
          <w:b/>
          <w:spacing w:val="-2"/>
          <w:sz w:val="14"/>
          <w:szCs w:val="14"/>
        </w:rPr>
        <w:tab/>
      </w:r>
      <w:r w:rsidRPr="00773AAD">
        <w:rPr>
          <w:rFonts w:ascii="Times New Roman" w:hAnsi="Times New Roman"/>
          <w:b/>
          <w:spacing w:val="-2"/>
          <w:sz w:val="14"/>
          <w:szCs w:val="14"/>
        </w:rPr>
        <w:tab/>
      </w:r>
      <w:r w:rsidR="008E09D4" w:rsidRPr="00773AAD">
        <w:rPr>
          <w:rFonts w:ascii="Times New Roman" w:hAnsi="Times New Roman"/>
          <w:b/>
          <w:spacing w:val="-2"/>
          <w:sz w:val="14"/>
          <w:szCs w:val="14"/>
        </w:rPr>
        <w:tab/>
      </w:r>
      <w:r w:rsidRPr="00773AAD">
        <w:rPr>
          <w:rFonts w:ascii="Times New Roman" w:hAnsi="Times New Roman"/>
          <w:b/>
          <w:spacing w:val="-2"/>
          <w:sz w:val="14"/>
          <w:szCs w:val="14"/>
        </w:rPr>
        <w:t xml:space="preserve">EGMR NJW 2006, 3117 – </w:t>
      </w:r>
      <w:r w:rsidR="00344B6C">
        <w:rPr>
          <w:rFonts w:ascii="Times New Roman" w:hAnsi="Times New Roman"/>
          <w:spacing w:val="-2"/>
          <w:sz w:val="14"/>
          <w:szCs w:val="14"/>
        </w:rPr>
        <w:t>Jalloh</w:t>
      </w:r>
      <w:r w:rsidR="00344B6C" w:rsidRPr="00773AAD">
        <w:rPr>
          <w:rFonts w:ascii="Times New Roman" w:hAnsi="Times New Roman"/>
          <w:spacing w:val="-2"/>
          <w:sz w:val="14"/>
          <w:szCs w:val="14"/>
        </w:rPr>
        <w:t xml:space="preserve"> </w:t>
      </w:r>
      <w:r w:rsidRPr="00773AAD">
        <w:rPr>
          <w:rFonts w:ascii="Times New Roman" w:hAnsi="Times New Roman"/>
          <w:spacing w:val="-2"/>
          <w:sz w:val="14"/>
          <w:szCs w:val="14"/>
        </w:rPr>
        <w:t>(Brechmitteleinsatz zum Auffinden der Betäubungsmitteln);</w:t>
      </w:r>
      <w:r w:rsidR="00C3735A" w:rsidRPr="00773AAD">
        <w:rPr>
          <w:rFonts w:ascii="Times New Roman" w:hAnsi="Times New Roman"/>
          <w:spacing w:val="-2"/>
          <w:sz w:val="14"/>
          <w:szCs w:val="14"/>
        </w:rPr>
        <w:t xml:space="preserve"> </w:t>
      </w:r>
      <w:r w:rsidR="00C3735A" w:rsidRPr="00773AAD">
        <w:rPr>
          <w:rFonts w:ascii="Times New Roman" w:hAnsi="Times New Roman"/>
          <w:b/>
          <w:spacing w:val="-2"/>
          <w:sz w:val="14"/>
          <w:szCs w:val="14"/>
        </w:rPr>
        <w:t>BVerfG NJW 2008, 3053</w:t>
      </w:r>
      <w:r w:rsidR="00C3735A" w:rsidRPr="00773AAD">
        <w:rPr>
          <w:rFonts w:ascii="Times New Roman" w:hAnsi="Times New Roman"/>
          <w:spacing w:val="-2"/>
          <w:sz w:val="14"/>
          <w:szCs w:val="14"/>
        </w:rPr>
        <w:t xml:space="preserve"> – Blutentnahme (</w:t>
      </w:r>
      <w:r w:rsidR="008E09D4" w:rsidRPr="00773AAD">
        <w:rPr>
          <w:rFonts w:ascii="Times New Roman" w:hAnsi="Times New Roman"/>
          <w:spacing w:val="-2"/>
          <w:sz w:val="14"/>
          <w:szCs w:val="14"/>
        </w:rPr>
        <w:t>k</w:t>
      </w:r>
      <w:r w:rsidR="00C3735A" w:rsidRPr="00773AAD">
        <w:rPr>
          <w:rFonts w:ascii="Times New Roman" w:hAnsi="Times New Roman"/>
          <w:spacing w:val="-2"/>
          <w:sz w:val="14"/>
          <w:szCs w:val="14"/>
        </w:rPr>
        <w:t>ein verfassungsrechtliches Beweisverwertungsverbot bei Verstoß gegen Richtervorbehalt);</w:t>
      </w:r>
      <w:r w:rsidRPr="00773AAD">
        <w:rPr>
          <w:rFonts w:ascii="Times New Roman" w:hAnsi="Times New Roman"/>
          <w:b/>
          <w:spacing w:val="-2"/>
          <w:sz w:val="14"/>
          <w:szCs w:val="14"/>
        </w:rPr>
        <w:t xml:space="preserve"> </w:t>
      </w:r>
      <w:r w:rsidR="00C3735A" w:rsidRPr="00773AAD">
        <w:rPr>
          <w:rFonts w:ascii="Times New Roman" w:hAnsi="Times New Roman"/>
          <w:b/>
          <w:spacing w:val="-2"/>
          <w:sz w:val="14"/>
          <w:szCs w:val="14"/>
        </w:rPr>
        <w:t xml:space="preserve">BVerfG NStZ 2011, 289 </w:t>
      </w:r>
      <w:r w:rsidR="00C3735A" w:rsidRPr="00773AAD">
        <w:rPr>
          <w:rFonts w:ascii="Times New Roman" w:hAnsi="Times New Roman"/>
          <w:spacing w:val="-2"/>
          <w:sz w:val="14"/>
          <w:szCs w:val="14"/>
        </w:rPr>
        <w:t>– Blutentnahme (Unzureichende richterliche Überprüfung der polizeilichen Eilkompetenz);</w:t>
      </w:r>
      <w:r w:rsidR="00C3735A" w:rsidRPr="00773AAD">
        <w:rPr>
          <w:rFonts w:ascii="Times New Roman" w:hAnsi="Times New Roman"/>
          <w:b/>
          <w:spacing w:val="-2"/>
          <w:sz w:val="14"/>
          <w:szCs w:val="14"/>
        </w:rPr>
        <w:t xml:space="preserve"> </w:t>
      </w:r>
      <w:r w:rsidRPr="00773AAD">
        <w:rPr>
          <w:rFonts w:ascii="Times New Roman" w:hAnsi="Times New Roman"/>
          <w:b/>
          <w:spacing w:val="-2"/>
          <w:sz w:val="14"/>
          <w:szCs w:val="14"/>
        </w:rPr>
        <w:t xml:space="preserve">BVerfG </w:t>
      </w:r>
      <w:proofErr w:type="spellStart"/>
      <w:r w:rsidRPr="00773AAD">
        <w:rPr>
          <w:rFonts w:ascii="Times New Roman" w:hAnsi="Times New Roman"/>
          <w:b/>
          <w:spacing w:val="-2"/>
          <w:sz w:val="14"/>
          <w:szCs w:val="14"/>
        </w:rPr>
        <w:t>StraFo</w:t>
      </w:r>
      <w:proofErr w:type="spellEnd"/>
      <w:r w:rsidRPr="00773AAD">
        <w:rPr>
          <w:rFonts w:ascii="Times New Roman" w:hAnsi="Times New Roman"/>
          <w:b/>
          <w:spacing w:val="-2"/>
          <w:sz w:val="14"/>
          <w:szCs w:val="14"/>
        </w:rPr>
        <w:t xml:space="preserve"> 2011, 145 </w:t>
      </w:r>
      <w:r w:rsidRPr="00773AAD">
        <w:rPr>
          <w:rFonts w:ascii="Times New Roman" w:hAnsi="Times New Roman"/>
          <w:spacing w:val="-2"/>
          <w:sz w:val="14"/>
          <w:szCs w:val="14"/>
        </w:rPr>
        <w:t xml:space="preserve">– Blutentnahme (kein Verwertungsverbot bei </w:t>
      </w:r>
      <w:r w:rsidR="008E09D4" w:rsidRPr="00773AAD">
        <w:rPr>
          <w:rFonts w:ascii="Times New Roman" w:hAnsi="Times New Roman"/>
          <w:spacing w:val="-2"/>
          <w:sz w:val="14"/>
          <w:szCs w:val="14"/>
        </w:rPr>
        <w:t>fehlendem</w:t>
      </w:r>
      <w:r w:rsidRPr="00773AAD">
        <w:rPr>
          <w:rFonts w:ascii="Times New Roman" w:hAnsi="Times New Roman"/>
          <w:spacing w:val="-2"/>
          <w:sz w:val="14"/>
          <w:szCs w:val="14"/>
        </w:rPr>
        <w:t xml:space="preserve"> richterlichen Bereitschaftsdienst)</w:t>
      </w:r>
      <w:r w:rsidR="00211983">
        <w:rPr>
          <w:rFonts w:ascii="Times New Roman" w:hAnsi="Times New Roman"/>
          <w:spacing w:val="-2"/>
          <w:sz w:val="14"/>
          <w:szCs w:val="14"/>
        </w:rPr>
        <w:t xml:space="preserve">, </w:t>
      </w:r>
      <w:r w:rsidR="00211983" w:rsidRPr="005D0C7B">
        <w:rPr>
          <w:rFonts w:ascii="Times New Roman" w:hAnsi="Times New Roman"/>
          <w:i/>
          <w:iCs/>
          <w:spacing w:val="-2"/>
          <w:sz w:val="14"/>
          <w:szCs w:val="14"/>
        </w:rPr>
        <w:t>Appel/</w:t>
      </w:r>
      <w:proofErr w:type="spellStart"/>
      <w:r w:rsidR="00211983" w:rsidRPr="005D0C7B">
        <w:rPr>
          <w:rFonts w:ascii="Times New Roman" w:hAnsi="Times New Roman"/>
          <w:i/>
          <w:iCs/>
          <w:spacing w:val="-2"/>
          <w:sz w:val="14"/>
          <w:szCs w:val="14"/>
        </w:rPr>
        <w:t>Teterjukow</w:t>
      </w:r>
      <w:proofErr w:type="spellEnd"/>
      <w:r w:rsidR="00211983">
        <w:rPr>
          <w:rFonts w:ascii="Times New Roman" w:hAnsi="Times New Roman"/>
          <w:spacing w:val="-2"/>
          <w:sz w:val="14"/>
          <w:szCs w:val="14"/>
        </w:rPr>
        <w:t>, famos 8/2011</w:t>
      </w:r>
      <w:r w:rsidRPr="00773AAD">
        <w:rPr>
          <w:rFonts w:ascii="Times New Roman" w:hAnsi="Times New Roman"/>
          <w:spacing w:val="-2"/>
          <w:sz w:val="14"/>
          <w:szCs w:val="14"/>
        </w:rPr>
        <w:t xml:space="preserve">; </w:t>
      </w:r>
      <w:r w:rsidRPr="00773AAD">
        <w:rPr>
          <w:rFonts w:ascii="Times New Roman" w:hAnsi="Times New Roman"/>
          <w:b/>
          <w:spacing w:val="-2"/>
          <w:sz w:val="14"/>
          <w:szCs w:val="14"/>
        </w:rPr>
        <w:t>BGH</w:t>
      </w:r>
      <w:r w:rsidR="000F389B" w:rsidRPr="00773AAD">
        <w:rPr>
          <w:rFonts w:ascii="Times New Roman" w:hAnsi="Times New Roman"/>
          <w:b/>
          <w:spacing w:val="-2"/>
          <w:sz w:val="14"/>
          <w:szCs w:val="14"/>
        </w:rPr>
        <w:t>St 55, 121</w:t>
      </w:r>
      <w:r w:rsidRPr="00773AAD">
        <w:rPr>
          <w:rFonts w:ascii="Times New Roman" w:hAnsi="Times New Roman"/>
          <w:spacing w:val="-2"/>
          <w:sz w:val="14"/>
          <w:szCs w:val="14"/>
        </w:rPr>
        <w:t xml:space="preserve"> – Brechmittel (</w:t>
      </w:r>
      <w:r w:rsidR="008E09D4" w:rsidRPr="00773AAD">
        <w:rPr>
          <w:rFonts w:ascii="Times New Roman" w:hAnsi="Times New Roman"/>
          <w:spacing w:val="-2"/>
          <w:sz w:val="14"/>
          <w:szCs w:val="14"/>
        </w:rPr>
        <w:t>k</w:t>
      </w:r>
      <w:r w:rsidRPr="00773AAD">
        <w:rPr>
          <w:rFonts w:ascii="Times New Roman" w:hAnsi="Times New Roman"/>
          <w:spacing w:val="-2"/>
          <w:sz w:val="14"/>
          <w:szCs w:val="14"/>
        </w:rPr>
        <w:t>eine Rechtfertigung nach § 81a StPO)</w:t>
      </w:r>
      <w:r w:rsidR="000F389B" w:rsidRPr="00773AAD">
        <w:rPr>
          <w:rFonts w:ascii="Times New Roman" w:hAnsi="Times New Roman"/>
          <w:spacing w:val="-2"/>
          <w:sz w:val="14"/>
          <w:szCs w:val="14"/>
        </w:rPr>
        <w:t>, vgl.</w:t>
      </w:r>
      <w:r w:rsidR="00211983">
        <w:rPr>
          <w:rFonts w:ascii="Times New Roman" w:hAnsi="Times New Roman"/>
          <w:spacing w:val="-2"/>
          <w:sz w:val="14"/>
          <w:szCs w:val="14"/>
        </w:rPr>
        <w:t xml:space="preserve"> </w:t>
      </w:r>
      <w:r w:rsidR="00211983" w:rsidRPr="005D0C7B">
        <w:rPr>
          <w:rFonts w:ascii="Times New Roman" w:hAnsi="Times New Roman"/>
          <w:i/>
          <w:iCs/>
          <w:spacing w:val="-2"/>
          <w:sz w:val="14"/>
          <w:szCs w:val="14"/>
        </w:rPr>
        <w:t>Stempel/</w:t>
      </w:r>
      <w:proofErr w:type="spellStart"/>
      <w:r w:rsidR="00211983" w:rsidRPr="005D0C7B">
        <w:rPr>
          <w:rFonts w:ascii="Times New Roman" w:hAnsi="Times New Roman"/>
          <w:i/>
          <w:iCs/>
          <w:spacing w:val="-2"/>
          <w:sz w:val="14"/>
          <w:szCs w:val="14"/>
        </w:rPr>
        <w:t>Heinken</w:t>
      </w:r>
      <w:proofErr w:type="spellEnd"/>
      <w:r w:rsidR="00211983">
        <w:rPr>
          <w:rFonts w:ascii="Times New Roman" w:hAnsi="Times New Roman"/>
          <w:spacing w:val="-2"/>
          <w:sz w:val="14"/>
          <w:szCs w:val="14"/>
        </w:rPr>
        <w:t>, famos 2/2011</w:t>
      </w:r>
      <w:r w:rsidRPr="00773AAD">
        <w:rPr>
          <w:rFonts w:ascii="Times New Roman" w:hAnsi="Times New Roman"/>
          <w:spacing w:val="-2"/>
          <w:sz w:val="14"/>
          <w:szCs w:val="14"/>
        </w:rPr>
        <w:t>;</w:t>
      </w:r>
      <w:r w:rsidR="000F389B" w:rsidRPr="00773AAD">
        <w:rPr>
          <w:rFonts w:ascii="Arial" w:hAnsi="Arial" w:cs="Times New Roman"/>
          <w:b/>
          <w:bCs/>
          <w:color w:val="339966"/>
          <w:sz w:val="14"/>
          <w:szCs w:val="14"/>
        </w:rPr>
        <w:t xml:space="preserve"> </w:t>
      </w:r>
      <w:r w:rsidR="000F389B" w:rsidRPr="00773AAD">
        <w:rPr>
          <w:rFonts w:ascii="Times New Roman" w:hAnsi="Times New Roman"/>
          <w:b/>
          <w:bCs/>
          <w:spacing w:val="-2"/>
          <w:sz w:val="14"/>
          <w:szCs w:val="14"/>
        </w:rPr>
        <w:t>BGH NStZ 2013, 242</w:t>
      </w:r>
      <w:r w:rsidR="000F389B" w:rsidRPr="00773AAD">
        <w:rPr>
          <w:rFonts w:ascii="Times New Roman" w:hAnsi="Times New Roman"/>
          <w:bCs/>
          <w:spacing w:val="-2"/>
          <w:sz w:val="14"/>
          <w:szCs w:val="14"/>
        </w:rPr>
        <w:t xml:space="preserve"> – DNA-Reihenuntersuchung (Zulässigkeit der Feststellung und Verwendung von Teilübereinstimmungen</w:t>
      </w:r>
      <w:r w:rsidR="00445045">
        <w:rPr>
          <w:rFonts w:ascii="Times New Roman" w:hAnsi="Times New Roman"/>
          <w:bCs/>
          <w:spacing w:val="-2"/>
          <w:sz w:val="14"/>
          <w:szCs w:val="14"/>
        </w:rPr>
        <w:t>; sog. Beinahetreffer</w:t>
      </w:r>
      <w:r w:rsidR="000F389B" w:rsidRPr="00773AAD">
        <w:rPr>
          <w:rFonts w:ascii="Times New Roman" w:hAnsi="Times New Roman"/>
          <w:bCs/>
          <w:spacing w:val="-2"/>
          <w:sz w:val="14"/>
          <w:szCs w:val="14"/>
        </w:rPr>
        <w:t xml:space="preserve">), vgl. </w:t>
      </w:r>
      <w:proofErr w:type="spellStart"/>
      <w:r w:rsidR="00211983" w:rsidRPr="005D0C7B">
        <w:rPr>
          <w:rFonts w:ascii="Times New Roman" w:hAnsi="Times New Roman"/>
          <w:bCs/>
          <w:i/>
          <w:iCs/>
          <w:spacing w:val="-2"/>
          <w:sz w:val="14"/>
          <w:szCs w:val="14"/>
        </w:rPr>
        <w:t>Fayt</w:t>
      </w:r>
      <w:proofErr w:type="spellEnd"/>
      <w:r w:rsidR="00211983" w:rsidRPr="005D0C7B">
        <w:rPr>
          <w:rFonts w:ascii="Times New Roman" w:hAnsi="Times New Roman"/>
          <w:bCs/>
          <w:i/>
          <w:iCs/>
          <w:spacing w:val="-2"/>
          <w:sz w:val="14"/>
          <w:szCs w:val="14"/>
        </w:rPr>
        <w:t>/</w:t>
      </w:r>
      <w:proofErr w:type="spellStart"/>
      <w:r w:rsidR="00211983" w:rsidRPr="005D0C7B">
        <w:rPr>
          <w:rFonts w:ascii="Times New Roman" w:hAnsi="Times New Roman"/>
          <w:bCs/>
          <w:i/>
          <w:iCs/>
          <w:spacing w:val="-2"/>
          <w:sz w:val="14"/>
          <w:szCs w:val="14"/>
        </w:rPr>
        <w:t>Kulbach</w:t>
      </w:r>
      <w:proofErr w:type="spellEnd"/>
      <w:r w:rsidR="00211983">
        <w:rPr>
          <w:rFonts w:ascii="Times New Roman" w:hAnsi="Times New Roman"/>
          <w:bCs/>
          <w:spacing w:val="-2"/>
          <w:sz w:val="14"/>
          <w:szCs w:val="14"/>
        </w:rPr>
        <w:t>, famos 4/2013</w:t>
      </w:r>
      <w:r w:rsidR="000F389B" w:rsidRPr="00773AAD">
        <w:rPr>
          <w:rFonts w:ascii="Times New Roman" w:hAnsi="Times New Roman"/>
          <w:bCs/>
          <w:spacing w:val="-2"/>
          <w:sz w:val="14"/>
          <w:szCs w:val="14"/>
        </w:rPr>
        <w:t>;</w:t>
      </w:r>
      <w:r w:rsidR="000F389B" w:rsidRPr="00773AAD">
        <w:rPr>
          <w:rFonts w:ascii="Times New Roman" w:hAnsi="Times New Roman"/>
          <w:b/>
          <w:bCs/>
          <w:spacing w:val="-2"/>
          <w:sz w:val="14"/>
          <w:szCs w:val="14"/>
        </w:rPr>
        <w:t xml:space="preserve"> </w:t>
      </w:r>
      <w:r w:rsidR="00773AAD" w:rsidRPr="00773AAD">
        <w:rPr>
          <w:rFonts w:ascii="Times New Roman" w:hAnsi="Times New Roman"/>
          <w:b/>
          <w:bCs/>
          <w:spacing w:val="-2"/>
          <w:sz w:val="14"/>
          <w:szCs w:val="14"/>
        </w:rPr>
        <w:t>BGH NStZ 2016, 111</w:t>
      </w:r>
      <w:r w:rsidR="00773AAD" w:rsidRPr="00773AAD">
        <w:rPr>
          <w:rFonts w:ascii="Times New Roman" w:hAnsi="Times New Roman"/>
          <w:bCs/>
          <w:spacing w:val="-2"/>
          <w:sz w:val="14"/>
          <w:szCs w:val="14"/>
        </w:rPr>
        <w:t xml:space="preserve"> – Verwertung von Zellmaterial in künftigen Strafverfahren (Verwertung einer DNA-Analyse trotz verfahrensfehlerhaft herangezogener Speichelprobe);</w:t>
      </w:r>
      <w:r w:rsidR="00773AAD" w:rsidRPr="00773AAD">
        <w:rPr>
          <w:rFonts w:ascii="Times New Roman" w:hAnsi="Times New Roman"/>
          <w:b/>
          <w:bCs/>
          <w:spacing w:val="-2"/>
          <w:sz w:val="14"/>
          <w:szCs w:val="14"/>
        </w:rPr>
        <w:t xml:space="preserve"> </w:t>
      </w:r>
      <w:r w:rsidRPr="00773AAD">
        <w:rPr>
          <w:rFonts w:ascii="Times New Roman" w:hAnsi="Times New Roman" w:cs="Times New Roman"/>
          <w:b/>
          <w:sz w:val="14"/>
          <w:szCs w:val="14"/>
          <w:lang w:bidi="x-none"/>
        </w:rPr>
        <w:t>OLG Bamberg NJW 2009, 2146</w:t>
      </w:r>
      <w:r w:rsidRPr="00773AAD">
        <w:rPr>
          <w:rFonts w:ascii="Times New Roman" w:hAnsi="Times New Roman" w:cs="Times New Roman"/>
          <w:sz w:val="14"/>
          <w:szCs w:val="14"/>
          <w:lang w:bidi="x-none"/>
        </w:rPr>
        <w:t xml:space="preserve"> – </w:t>
      </w:r>
      <w:r w:rsidRPr="00773AAD">
        <w:rPr>
          <w:rFonts w:ascii="Times New Roman" w:hAnsi="Times New Roman"/>
          <w:spacing w:val="-2"/>
          <w:sz w:val="14"/>
          <w:szCs w:val="14"/>
        </w:rPr>
        <w:t>Richtervorbehalt (Verwertungsverbot nur bei gezielter und willkürlicher Umgehung);</w:t>
      </w:r>
      <w:r w:rsidR="000F389B" w:rsidRPr="00773AAD">
        <w:rPr>
          <w:rFonts w:ascii="Arial" w:hAnsi="Arial" w:cs="Times New Roman"/>
          <w:b/>
          <w:bCs/>
          <w:color w:val="339966"/>
          <w:sz w:val="14"/>
          <w:szCs w:val="14"/>
        </w:rPr>
        <w:t xml:space="preserve"> </w:t>
      </w:r>
      <w:r w:rsidR="000F389B" w:rsidRPr="00773AAD">
        <w:rPr>
          <w:rFonts w:ascii="Times New Roman" w:hAnsi="Times New Roman"/>
          <w:b/>
          <w:bCs/>
          <w:spacing w:val="-2"/>
          <w:sz w:val="14"/>
          <w:szCs w:val="14"/>
        </w:rPr>
        <w:t xml:space="preserve">OLG Celle </w:t>
      </w:r>
      <w:proofErr w:type="spellStart"/>
      <w:r w:rsidR="000F389B" w:rsidRPr="00773AAD">
        <w:rPr>
          <w:rFonts w:ascii="Times New Roman" w:hAnsi="Times New Roman"/>
          <w:b/>
          <w:bCs/>
          <w:spacing w:val="-2"/>
          <w:sz w:val="14"/>
          <w:szCs w:val="14"/>
        </w:rPr>
        <w:t>StraFo</w:t>
      </w:r>
      <w:proofErr w:type="spellEnd"/>
      <w:r w:rsidR="000F389B" w:rsidRPr="00773AAD">
        <w:rPr>
          <w:rFonts w:ascii="Times New Roman" w:hAnsi="Times New Roman"/>
          <w:b/>
          <w:bCs/>
          <w:spacing w:val="-2"/>
          <w:sz w:val="14"/>
          <w:szCs w:val="14"/>
        </w:rPr>
        <w:t xml:space="preserve"> 2010, 463</w:t>
      </w:r>
      <w:r w:rsidR="000F389B" w:rsidRPr="00773AAD">
        <w:rPr>
          <w:rFonts w:ascii="Times New Roman" w:hAnsi="Times New Roman"/>
          <w:bCs/>
          <w:spacing w:val="-2"/>
          <w:sz w:val="14"/>
          <w:szCs w:val="14"/>
        </w:rPr>
        <w:t xml:space="preserve"> – Blutprobe</w:t>
      </w:r>
      <w:r w:rsidR="000F389B" w:rsidRPr="00773AAD">
        <w:rPr>
          <w:rFonts w:ascii="Times New Roman" w:hAnsi="Times New Roman"/>
          <w:b/>
          <w:bCs/>
          <w:spacing w:val="-2"/>
          <w:sz w:val="14"/>
          <w:szCs w:val="14"/>
        </w:rPr>
        <w:t xml:space="preserve"> </w:t>
      </w:r>
      <w:r w:rsidR="000F389B" w:rsidRPr="00773AAD">
        <w:rPr>
          <w:rFonts w:ascii="Times New Roman" w:hAnsi="Times New Roman"/>
          <w:bCs/>
          <w:spacing w:val="-2"/>
          <w:sz w:val="14"/>
          <w:szCs w:val="14"/>
        </w:rPr>
        <w:t>(richterlicher Bereitschaftsdienst nicht erforderlich);</w:t>
      </w:r>
      <w:r w:rsidRPr="00773AAD">
        <w:rPr>
          <w:rFonts w:ascii="Times New Roman" w:hAnsi="Times New Roman"/>
          <w:spacing w:val="-2"/>
          <w:sz w:val="14"/>
          <w:szCs w:val="14"/>
        </w:rPr>
        <w:t xml:space="preserve"> </w:t>
      </w:r>
      <w:r w:rsidRPr="00773AAD">
        <w:rPr>
          <w:rFonts w:ascii="Times New Roman" w:hAnsi="Times New Roman"/>
          <w:b/>
          <w:spacing w:val="-2"/>
          <w:sz w:val="14"/>
          <w:szCs w:val="14"/>
        </w:rPr>
        <w:t xml:space="preserve">OLG Hamm NJW 2009, 242 – </w:t>
      </w:r>
      <w:r w:rsidRPr="00773AAD">
        <w:rPr>
          <w:rFonts w:ascii="Times New Roman" w:hAnsi="Times New Roman"/>
          <w:spacing w:val="-2"/>
          <w:sz w:val="14"/>
          <w:szCs w:val="14"/>
        </w:rPr>
        <w:t>Blutprobe (</w:t>
      </w:r>
      <w:r w:rsidR="008E09D4" w:rsidRPr="00773AAD">
        <w:rPr>
          <w:rFonts w:ascii="Times New Roman" w:hAnsi="Times New Roman"/>
          <w:spacing w:val="-2"/>
          <w:sz w:val="14"/>
          <w:szCs w:val="14"/>
        </w:rPr>
        <w:t>z</w:t>
      </w:r>
      <w:r w:rsidRPr="00773AAD">
        <w:rPr>
          <w:rFonts w:ascii="Times New Roman" w:hAnsi="Times New Roman"/>
          <w:spacing w:val="-2"/>
          <w:sz w:val="14"/>
          <w:szCs w:val="14"/>
        </w:rPr>
        <w:t>um Richtervorbehalt bei §</w:t>
      </w:r>
      <w:r w:rsidR="008E09D4" w:rsidRPr="00773AAD">
        <w:rPr>
          <w:rFonts w:ascii="Times New Roman" w:hAnsi="Times New Roman"/>
          <w:spacing w:val="-2"/>
          <w:sz w:val="14"/>
          <w:szCs w:val="14"/>
        </w:rPr>
        <w:t> </w:t>
      </w:r>
      <w:r w:rsidRPr="00773AAD">
        <w:rPr>
          <w:rFonts w:ascii="Times New Roman" w:hAnsi="Times New Roman"/>
          <w:spacing w:val="-2"/>
          <w:sz w:val="14"/>
          <w:szCs w:val="14"/>
        </w:rPr>
        <w:t>81a StPO, Verteidigerwiderspruch in der Hauptverhandlung).</w:t>
      </w:r>
    </w:p>
    <w:sectPr w:rsidR="00F5462D" w:rsidRPr="00773AAD">
      <w:pgSz w:w="11906" w:h="16838"/>
      <w:pgMar w:top="566" w:right="566" w:bottom="288" w:left="1276" w:header="566" w:footer="28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77AC9" w14:textId="77777777" w:rsidR="00297577" w:rsidRDefault="00297577">
      <w:r>
        <w:separator/>
      </w:r>
    </w:p>
  </w:endnote>
  <w:endnote w:type="continuationSeparator" w:id="0">
    <w:p w14:paraId="44305688" w14:textId="77777777" w:rsidR="00297577" w:rsidRDefault="0029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5F267" w14:textId="77777777" w:rsidR="00297577" w:rsidRDefault="00297577">
      <w:r>
        <w:separator/>
      </w:r>
    </w:p>
  </w:footnote>
  <w:footnote w:type="continuationSeparator" w:id="0">
    <w:p w14:paraId="5F9A7061" w14:textId="77777777" w:rsidR="00297577" w:rsidRDefault="00297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E780D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7C44C0EC"/>
    <w:lvl w:ilvl="0" w:tplc="92BA6090">
      <w:numFmt w:val="none"/>
      <w:lvlText w:val=""/>
      <w:lvlJc w:val="left"/>
      <w:pPr>
        <w:tabs>
          <w:tab w:val="num" w:pos="360"/>
        </w:tabs>
      </w:pPr>
    </w:lvl>
    <w:lvl w:ilvl="1" w:tplc="EEBE9E9C">
      <w:numFmt w:val="decimal"/>
      <w:lvlText w:val=""/>
      <w:lvlJc w:val="left"/>
    </w:lvl>
    <w:lvl w:ilvl="2" w:tplc="4F3C2C60">
      <w:numFmt w:val="decimal"/>
      <w:lvlText w:val=""/>
      <w:lvlJc w:val="left"/>
    </w:lvl>
    <w:lvl w:ilvl="3" w:tplc="C8528C1C">
      <w:numFmt w:val="decimal"/>
      <w:lvlText w:val=""/>
      <w:lvlJc w:val="left"/>
    </w:lvl>
    <w:lvl w:ilvl="4" w:tplc="AD261246">
      <w:numFmt w:val="decimal"/>
      <w:lvlText w:val=""/>
      <w:lvlJc w:val="left"/>
    </w:lvl>
    <w:lvl w:ilvl="5" w:tplc="8BE0A528">
      <w:numFmt w:val="decimal"/>
      <w:lvlText w:val=""/>
      <w:lvlJc w:val="left"/>
    </w:lvl>
    <w:lvl w:ilvl="6" w:tplc="6EA8A672">
      <w:numFmt w:val="decimal"/>
      <w:lvlText w:val=""/>
      <w:lvlJc w:val="left"/>
    </w:lvl>
    <w:lvl w:ilvl="7" w:tplc="0C3CC62C">
      <w:numFmt w:val="decimal"/>
      <w:lvlText w:val=""/>
      <w:lvlJc w:val="left"/>
    </w:lvl>
    <w:lvl w:ilvl="8" w:tplc="1284D8EA">
      <w:numFmt w:val="decimal"/>
      <w:lvlText w:val=""/>
      <w:lvlJc w:val="left"/>
    </w:lvl>
  </w:abstractNum>
  <w:abstractNum w:abstractNumId="2" w15:restartNumberingAfterBreak="0">
    <w:nsid w:val="214B7019"/>
    <w:multiLevelType w:val="hybridMultilevel"/>
    <w:tmpl w:val="50AADEBE"/>
    <w:lvl w:ilvl="0" w:tplc="E2D29ABE">
      <w:start w:val="1"/>
      <w:numFmt w:val="decimal"/>
      <w:lvlText w:val="%1."/>
      <w:lvlJc w:val="left"/>
      <w:pPr>
        <w:tabs>
          <w:tab w:val="num" w:pos="921"/>
        </w:tabs>
        <w:ind w:left="921" w:hanging="360"/>
      </w:pPr>
      <w:rPr>
        <w:rFonts w:hint="default"/>
        <w:u w:val="single"/>
      </w:rPr>
    </w:lvl>
    <w:lvl w:ilvl="1" w:tplc="00190407">
      <w:start w:val="1"/>
      <w:numFmt w:val="lowerLetter"/>
      <w:lvlText w:val="%2."/>
      <w:lvlJc w:val="left"/>
      <w:pPr>
        <w:tabs>
          <w:tab w:val="num" w:pos="1641"/>
        </w:tabs>
        <w:ind w:left="1641" w:hanging="360"/>
      </w:pPr>
    </w:lvl>
    <w:lvl w:ilvl="2" w:tplc="001B0407" w:tentative="1">
      <w:start w:val="1"/>
      <w:numFmt w:val="lowerRoman"/>
      <w:lvlText w:val="%3."/>
      <w:lvlJc w:val="right"/>
      <w:pPr>
        <w:tabs>
          <w:tab w:val="num" w:pos="2361"/>
        </w:tabs>
        <w:ind w:left="2361" w:hanging="180"/>
      </w:pPr>
    </w:lvl>
    <w:lvl w:ilvl="3" w:tplc="000F0407" w:tentative="1">
      <w:start w:val="1"/>
      <w:numFmt w:val="decimal"/>
      <w:lvlText w:val="%4."/>
      <w:lvlJc w:val="left"/>
      <w:pPr>
        <w:tabs>
          <w:tab w:val="num" w:pos="3081"/>
        </w:tabs>
        <w:ind w:left="3081" w:hanging="360"/>
      </w:pPr>
    </w:lvl>
    <w:lvl w:ilvl="4" w:tplc="00190407" w:tentative="1">
      <w:start w:val="1"/>
      <w:numFmt w:val="lowerLetter"/>
      <w:lvlText w:val="%5."/>
      <w:lvlJc w:val="left"/>
      <w:pPr>
        <w:tabs>
          <w:tab w:val="num" w:pos="3801"/>
        </w:tabs>
        <w:ind w:left="3801" w:hanging="360"/>
      </w:pPr>
    </w:lvl>
    <w:lvl w:ilvl="5" w:tplc="001B0407" w:tentative="1">
      <w:start w:val="1"/>
      <w:numFmt w:val="lowerRoman"/>
      <w:lvlText w:val="%6."/>
      <w:lvlJc w:val="right"/>
      <w:pPr>
        <w:tabs>
          <w:tab w:val="num" w:pos="4521"/>
        </w:tabs>
        <w:ind w:left="4521" w:hanging="180"/>
      </w:pPr>
    </w:lvl>
    <w:lvl w:ilvl="6" w:tplc="000F0407" w:tentative="1">
      <w:start w:val="1"/>
      <w:numFmt w:val="decimal"/>
      <w:lvlText w:val="%7."/>
      <w:lvlJc w:val="left"/>
      <w:pPr>
        <w:tabs>
          <w:tab w:val="num" w:pos="5241"/>
        </w:tabs>
        <w:ind w:left="5241" w:hanging="360"/>
      </w:pPr>
    </w:lvl>
    <w:lvl w:ilvl="7" w:tplc="00190407" w:tentative="1">
      <w:start w:val="1"/>
      <w:numFmt w:val="lowerLetter"/>
      <w:lvlText w:val="%8."/>
      <w:lvlJc w:val="left"/>
      <w:pPr>
        <w:tabs>
          <w:tab w:val="num" w:pos="5961"/>
        </w:tabs>
        <w:ind w:left="5961" w:hanging="360"/>
      </w:pPr>
    </w:lvl>
    <w:lvl w:ilvl="8" w:tplc="001B0407" w:tentative="1">
      <w:start w:val="1"/>
      <w:numFmt w:val="lowerRoman"/>
      <w:lvlText w:val="%9."/>
      <w:lvlJc w:val="right"/>
      <w:pPr>
        <w:tabs>
          <w:tab w:val="num" w:pos="6681"/>
        </w:tabs>
        <w:ind w:left="6681" w:hanging="180"/>
      </w:pPr>
    </w:lvl>
  </w:abstractNum>
  <w:abstractNum w:abstractNumId="3" w15:restartNumberingAfterBreak="0">
    <w:nsid w:val="26C51408"/>
    <w:multiLevelType w:val="hybridMultilevel"/>
    <w:tmpl w:val="F0E2BAAE"/>
    <w:lvl w:ilvl="0" w:tplc="6B46D31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4" w15:restartNumberingAfterBreak="0">
    <w:nsid w:val="45953326"/>
    <w:multiLevelType w:val="hybridMultilevel"/>
    <w:tmpl w:val="F85C6CCC"/>
    <w:lvl w:ilvl="0" w:tplc="80A66170">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5" w15:restartNumberingAfterBreak="0">
    <w:nsid w:val="534A0D46"/>
    <w:multiLevelType w:val="multilevel"/>
    <w:tmpl w:val="7B3C2B68"/>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F79518A"/>
    <w:multiLevelType w:val="hybridMultilevel"/>
    <w:tmpl w:val="7B3C2B68"/>
    <w:lvl w:ilvl="0" w:tplc="CFC6C554">
      <w:start w:val="1"/>
      <w:numFmt w:val="decimal"/>
      <w:lvlText w:val="%1."/>
      <w:lvlJc w:val="left"/>
      <w:pPr>
        <w:tabs>
          <w:tab w:val="num" w:pos="720"/>
        </w:tabs>
        <w:ind w:left="720" w:hanging="360"/>
      </w:pPr>
      <w:rPr>
        <w:rFonts w:hint="default"/>
        <w:u w:val="single"/>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7" w15:restartNumberingAfterBreak="0">
    <w:nsid w:val="72A57741"/>
    <w:multiLevelType w:val="hybridMultilevel"/>
    <w:tmpl w:val="E2A4439A"/>
    <w:lvl w:ilvl="0" w:tplc="000F0407">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8" w15:restartNumberingAfterBreak="0">
    <w:nsid w:val="72C70AC4"/>
    <w:multiLevelType w:val="hybridMultilevel"/>
    <w:tmpl w:val="590C8E1E"/>
    <w:lvl w:ilvl="0" w:tplc="B3E80FF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9" w15:restartNumberingAfterBreak="0">
    <w:nsid w:val="756D32B1"/>
    <w:multiLevelType w:val="hybridMultilevel"/>
    <w:tmpl w:val="8674B266"/>
    <w:lvl w:ilvl="0" w:tplc="C3866A1A">
      <w:start w:val="1"/>
      <w:numFmt w:val="decimal"/>
      <w:lvlText w:val="%1."/>
      <w:lvlJc w:val="left"/>
      <w:pPr>
        <w:tabs>
          <w:tab w:val="num" w:pos="927"/>
        </w:tabs>
        <w:ind w:left="927" w:hanging="360"/>
      </w:pPr>
      <w:rPr>
        <w:rFonts w:hint="default"/>
        <w:u w:val="single"/>
      </w:rPr>
    </w:lvl>
    <w:lvl w:ilvl="1" w:tplc="00190407" w:tentative="1">
      <w:start w:val="1"/>
      <w:numFmt w:val="lowerLetter"/>
      <w:lvlText w:val="%2."/>
      <w:lvlJc w:val="left"/>
      <w:pPr>
        <w:tabs>
          <w:tab w:val="num" w:pos="1647"/>
        </w:tabs>
        <w:ind w:left="1647" w:hanging="360"/>
      </w:pPr>
    </w:lvl>
    <w:lvl w:ilvl="2" w:tplc="001B0407" w:tentative="1">
      <w:start w:val="1"/>
      <w:numFmt w:val="lowerRoman"/>
      <w:lvlText w:val="%3."/>
      <w:lvlJc w:val="right"/>
      <w:pPr>
        <w:tabs>
          <w:tab w:val="num" w:pos="2367"/>
        </w:tabs>
        <w:ind w:left="2367" w:hanging="180"/>
      </w:pPr>
    </w:lvl>
    <w:lvl w:ilvl="3" w:tplc="000F0407" w:tentative="1">
      <w:start w:val="1"/>
      <w:numFmt w:val="decimal"/>
      <w:lvlText w:val="%4."/>
      <w:lvlJc w:val="left"/>
      <w:pPr>
        <w:tabs>
          <w:tab w:val="num" w:pos="3087"/>
        </w:tabs>
        <w:ind w:left="3087" w:hanging="360"/>
      </w:pPr>
    </w:lvl>
    <w:lvl w:ilvl="4" w:tplc="00190407" w:tentative="1">
      <w:start w:val="1"/>
      <w:numFmt w:val="lowerLetter"/>
      <w:lvlText w:val="%5."/>
      <w:lvlJc w:val="left"/>
      <w:pPr>
        <w:tabs>
          <w:tab w:val="num" w:pos="3807"/>
        </w:tabs>
        <w:ind w:left="3807" w:hanging="360"/>
      </w:pPr>
    </w:lvl>
    <w:lvl w:ilvl="5" w:tplc="001B0407" w:tentative="1">
      <w:start w:val="1"/>
      <w:numFmt w:val="lowerRoman"/>
      <w:lvlText w:val="%6."/>
      <w:lvlJc w:val="right"/>
      <w:pPr>
        <w:tabs>
          <w:tab w:val="num" w:pos="4527"/>
        </w:tabs>
        <w:ind w:left="4527" w:hanging="180"/>
      </w:pPr>
    </w:lvl>
    <w:lvl w:ilvl="6" w:tplc="000F0407" w:tentative="1">
      <w:start w:val="1"/>
      <w:numFmt w:val="decimal"/>
      <w:lvlText w:val="%7."/>
      <w:lvlJc w:val="left"/>
      <w:pPr>
        <w:tabs>
          <w:tab w:val="num" w:pos="5247"/>
        </w:tabs>
        <w:ind w:left="5247" w:hanging="360"/>
      </w:pPr>
    </w:lvl>
    <w:lvl w:ilvl="7" w:tplc="00190407" w:tentative="1">
      <w:start w:val="1"/>
      <w:numFmt w:val="lowerLetter"/>
      <w:lvlText w:val="%8."/>
      <w:lvlJc w:val="left"/>
      <w:pPr>
        <w:tabs>
          <w:tab w:val="num" w:pos="5967"/>
        </w:tabs>
        <w:ind w:left="5967" w:hanging="360"/>
      </w:pPr>
    </w:lvl>
    <w:lvl w:ilvl="8" w:tplc="001B0407" w:tentative="1">
      <w:start w:val="1"/>
      <w:numFmt w:val="lowerRoman"/>
      <w:lvlText w:val="%9."/>
      <w:lvlJc w:val="right"/>
      <w:pPr>
        <w:tabs>
          <w:tab w:val="num" w:pos="6687"/>
        </w:tabs>
        <w:ind w:left="6687" w:hanging="180"/>
      </w:pPr>
    </w:lvl>
  </w:abstractNum>
  <w:abstractNum w:abstractNumId="10" w15:restartNumberingAfterBreak="0">
    <w:nsid w:val="79BF6AE7"/>
    <w:multiLevelType w:val="hybridMultilevel"/>
    <w:tmpl w:val="B35C59F8"/>
    <w:lvl w:ilvl="0" w:tplc="5D120DF8">
      <w:start w:val="1"/>
      <w:numFmt w:val="decimal"/>
      <w:lvlText w:val="%1."/>
      <w:lvlJc w:val="left"/>
      <w:pPr>
        <w:tabs>
          <w:tab w:val="num" w:pos="720"/>
        </w:tabs>
        <w:ind w:left="720" w:hanging="360"/>
      </w:pPr>
      <w:rPr>
        <w:rFonts w:hint="default"/>
        <w:b w:val="0"/>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16cid:durableId="789669605">
    <w:abstractNumId w:val="6"/>
  </w:num>
  <w:num w:numId="2" w16cid:durableId="2099788312">
    <w:abstractNumId w:val="5"/>
  </w:num>
  <w:num w:numId="3" w16cid:durableId="842166021">
    <w:abstractNumId w:val="3"/>
  </w:num>
  <w:num w:numId="4" w16cid:durableId="560989555">
    <w:abstractNumId w:val="8"/>
  </w:num>
  <w:num w:numId="5" w16cid:durableId="242374708">
    <w:abstractNumId w:val="4"/>
  </w:num>
  <w:num w:numId="6" w16cid:durableId="1741295398">
    <w:abstractNumId w:val="7"/>
  </w:num>
  <w:num w:numId="7" w16cid:durableId="1735349274">
    <w:abstractNumId w:val="1"/>
  </w:num>
  <w:num w:numId="8" w16cid:durableId="1972586629">
    <w:abstractNumId w:val="9"/>
  </w:num>
  <w:num w:numId="9" w16cid:durableId="26176434">
    <w:abstractNumId w:val="2"/>
  </w:num>
  <w:num w:numId="10" w16cid:durableId="1757631048">
    <w:abstractNumId w:val="10"/>
  </w:num>
  <w:num w:numId="11" w16cid:durableId="611009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activeWritingStyle w:appName="MSWord" w:lang="de-DE" w:vendorID="6" w:dllVersion="2" w:checkStyle="1"/>
  <w:proofState w:spelling="clean" w:grammar="clean"/>
  <w:trackRevisions/>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0"/>
    <w:rsid w:val="00020158"/>
    <w:rsid w:val="000754B6"/>
    <w:rsid w:val="000A2A78"/>
    <w:rsid w:val="000C72D5"/>
    <w:rsid w:val="000F389B"/>
    <w:rsid w:val="001270FF"/>
    <w:rsid w:val="0013236F"/>
    <w:rsid w:val="00133CA1"/>
    <w:rsid w:val="001637A2"/>
    <w:rsid w:val="00166192"/>
    <w:rsid w:val="001962CB"/>
    <w:rsid w:val="00197705"/>
    <w:rsid w:val="001A64DC"/>
    <w:rsid w:val="001F4741"/>
    <w:rsid w:val="00211983"/>
    <w:rsid w:val="00223AF8"/>
    <w:rsid w:val="00237156"/>
    <w:rsid w:val="0024254C"/>
    <w:rsid w:val="00264224"/>
    <w:rsid w:val="00266B06"/>
    <w:rsid w:val="00267542"/>
    <w:rsid w:val="002827B7"/>
    <w:rsid w:val="00295BB5"/>
    <w:rsid w:val="00297577"/>
    <w:rsid w:val="002A305F"/>
    <w:rsid w:val="00311B46"/>
    <w:rsid w:val="00344B6C"/>
    <w:rsid w:val="003450F9"/>
    <w:rsid w:val="00350261"/>
    <w:rsid w:val="00371109"/>
    <w:rsid w:val="00382216"/>
    <w:rsid w:val="00392C79"/>
    <w:rsid w:val="003962D0"/>
    <w:rsid w:val="003B2A31"/>
    <w:rsid w:val="003F3E10"/>
    <w:rsid w:val="003F43F6"/>
    <w:rsid w:val="004021CC"/>
    <w:rsid w:val="004425C3"/>
    <w:rsid w:val="00444FF3"/>
    <w:rsid w:val="00445045"/>
    <w:rsid w:val="00473A6E"/>
    <w:rsid w:val="00474CE9"/>
    <w:rsid w:val="004D23F5"/>
    <w:rsid w:val="004E3769"/>
    <w:rsid w:val="004E5BAF"/>
    <w:rsid w:val="00526F86"/>
    <w:rsid w:val="00566A16"/>
    <w:rsid w:val="00580430"/>
    <w:rsid w:val="00593C3C"/>
    <w:rsid w:val="00597074"/>
    <w:rsid w:val="005D0C7B"/>
    <w:rsid w:val="005F5F51"/>
    <w:rsid w:val="00617EA2"/>
    <w:rsid w:val="006405CB"/>
    <w:rsid w:val="006719B4"/>
    <w:rsid w:val="006775AD"/>
    <w:rsid w:val="00690BDA"/>
    <w:rsid w:val="006B3699"/>
    <w:rsid w:val="006F4F70"/>
    <w:rsid w:val="00701B60"/>
    <w:rsid w:val="00705A49"/>
    <w:rsid w:val="007214F0"/>
    <w:rsid w:val="00773AAD"/>
    <w:rsid w:val="007E74CA"/>
    <w:rsid w:val="00801C31"/>
    <w:rsid w:val="00837E60"/>
    <w:rsid w:val="00851111"/>
    <w:rsid w:val="008707C3"/>
    <w:rsid w:val="008D4677"/>
    <w:rsid w:val="008E09D4"/>
    <w:rsid w:val="009111A3"/>
    <w:rsid w:val="00933B82"/>
    <w:rsid w:val="009545D9"/>
    <w:rsid w:val="00983414"/>
    <w:rsid w:val="0098382B"/>
    <w:rsid w:val="009A05F1"/>
    <w:rsid w:val="009A2A28"/>
    <w:rsid w:val="009A794F"/>
    <w:rsid w:val="009E1548"/>
    <w:rsid w:val="00A37435"/>
    <w:rsid w:val="00A67F3E"/>
    <w:rsid w:val="00A741D4"/>
    <w:rsid w:val="00A9784B"/>
    <w:rsid w:val="00AD5DA4"/>
    <w:rsid w:val="00B01B71"/>
    <w:rsid w:val="00B60430"/>
    <w:rsid w:val="00B60F21"/>
    <w:rsid w:val="00B64712"/>
    <w:rsid w:val="00B92DEC"/>
    <w:rsid w:val="00BB2003"/>
    <w:rsid w:val="00BC3C00"/>
    <w:rsid w:val="00BD0D81"/>
    <w:rsid w:val="00BF52A3"/>
    <w:rsid w:val="00C03E06"/>
    <w:rsid w:val="00C1171A"/>
    <w:rsid w:val="00C312AE"/>
    <w:rsid w:val="00C3456C"/>
    <w:rsid w:val="00C3735A"/>
    <w:rsid w:val="00C374B1"/>
    <w:rsid w:val="00C640AD"/>
    <w:rsid w:val="00CA448F"/>
    <w:rsid w:val="00CB2753"/>
    <w:rsid w:val="00CF17F1"/>
    <w:rsid w:val="00D27974"/>
    <w:rsid w:val="00D34C94"/>
    <w:rsid w:val="00D4695E"/>
    <w:rsid w:val="00DA7BE2"/>
    <w:rsid w:val="00DC1C39"/>
    <w:rsid w:val="00DC2D00"/>
    <w:rsid w:val="00DD6E35"/>
    <w:rsid w:val="00DE2712"/>
    <w:rsid w:val="00DE2F1E"/>
    <w:rsid w:val="00E0119F"/>
    <w:rsid w:val="00E249B7"/>
    <w:rsid w:val="00E35984"/>
    <w:rsid w:val="00E40886"/>
    <w:rsid w:val="00E7798C"/>
    <w:rsid w:val="00EB6027"/>
    <w:rsid w:val="00EE711D"/>
    <w:rsid w:val="00F0493D"/>
    <w:rsid w:val="00F34C70"/>
    <w:rsid w:val="00F5462D"/>
    <w:rsid w:val="00F57F8B"/>
    <w:rsid w:val="00F63EC9"/>
    <w:rsid w:val="00F73538"/>
    <w:rsid w:val="00FF15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6FBF73"/>
  <w15:chartTrackingRefBased/>
  <w15:docId w15:val="{6904E838-9940-49DA-8302-7BA35FCF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E7E"/>
    <w:pPr>
      <w:widowControl w:val="0"/>
      <w:autoSpaceDE w:val="0"/>
      <w:autoSpaceDN w:val="0"/>
      <w:adjustRightInd w:val="0"/>
    </w:pPr>
    <w:rPr>
      <w:rFonts w:ascii="Dutch Roman 12pt" w:hAnsi="Dutch Roman 12pt" w:cs="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0B4E7E"/>
  </w:style>
  <w:style w:type="paragraph" w:styleId="Textkrper-Zeileneinzug">
    <w:name w:val="Body Text Indent"/>
    <w:basedOn w:val="Standard"/>
    <w:rsid w:val="00422976"/>
    <w:pPr>
      <w:autoSpaceDE/>
      <w:autoSpaceDN/>
      <w:adjustRightInd/>
      <w:ind w:left="336"/>
      <w:jc w:val="both"/>
    </w:pPr>
    <w:rPr>
      <w:rFonts w:ascii="Times New Roman" w:hAnsi="Times New Roman" w:cs="Times New Roman"/>
      <w:snapToGrid w:val="0"/>
      <w:spacing w:val="-2"/>
      <w:sz w:val="20"/>
      <w:szCs w:val="20"/>
    </w:rPr>
  </w:style>
  <w:style w:type="paragraph" w:styleId="Textkrper-Einzug2">
    <w:name w:val="Body Text Indent 2"/>
    <w:basedOn w:val="Standard"/>
    <w:rsid w:val="00422976"/>
    <w:pPr>
      <w:tabs>
        <w:tab w:val="left" w:pos="426"/>
      </w:tabs>
      <w:autoSpaceDE/>
      <w:autoSpaceDN/>
      <w:adjustRightInd/>
      <w:ind w:left="426"/>
      <w:jc w:val="both"/>
    </w:pPr>
    <w:rPr>
      <w:rFonts w:ascii="Times New Roman" w:hAnsi="Times New Roman" w:cs="Times New Roman"/>
      <w:snapToGrid w:val="0"/>
      <w:spacing w:val="-2"/>
      <w:sz w:val="20"/>
      <w:szCs w:val="20"/>
    </w:rPr>
  </w:style>
  <w:style w:type="paragraph" w:styleId="Sprechblasentext">
    <w:name w:val="Balloon Text"/>
    <w:basedOn w:val="Standard"/>
    <w:semiHidden/>
    <w:rsid w:val="00842D0C"/>
    <w:rPr>
      <w:rFonts w:ascii="Tahoma" w:hAnsi="Tahoma" w:cs="Tahoma"/>
      <w:sz w:val="16"/>
      <w:szCs w:val="16"/>
    </w:rPr>
  </w:style>
  <w:style w:type="character" w:styleId="Kommentarzeichen">
    <w:name w:val="annotation reference"/>
    <w:uiPriority w:val="99"/>
    <w:semiHidden/>
    <w:unhideWhenUsed/>
    <w:rsid w:val="000F389B"/>
    <w:rPr>
      <w:sz w:val="16"/>
      <w:szCs w:val="16"/>
    </w:rPr>
  </w:style>
  <w:style w:type="paragraph" w:styleId="Kommentartext">
    <w:name w:val="annotation text"/>
    <w:basedOn w:val="Standard"/>
    <w:link w:val="KommentartextZchn"/>
    <w:uiPriority w:val="99"/>
    <w:semiHidden/>
    <w:unhideWhenUsed/>
    <w:rsid w:val="000F389B"/>
    <w:rPr>
      <w:sz w:val="20"/>
      <w:szCs w:val="20"/>
    </w:rPr>
  </w:style>
  <w:style w:type="character" w:customStyle="1" w:styleId="KommentartextZchn">
    <w:name w:val="Kommentartext Zchn"/>
    <w:link w:val="Kommentartext"/>
    <w:uiPriority w:val="99"/>
    <w:semiHidden/>
    <w:rsid w:val="000F389B"/>
    <w:rPr>
      <w:rFonts w:ascii="Dutch Roman 12pt" w:hAnsi="Dutch Roman 12pt" w:cs="Arial Narrow"/>
    </w:rPr>
  </w:style>
  <w:style w:type="paragraph" w:styleId="Kommentarthema">
    <w:name w:val="annotation subject"/>
    <w:basedOn w:val="Kommentartext"/>
    <w:next w:val="Kommentartext"/>
    <w:link w:val="KommentarthemaZchn"/>
    <w:uiPriority w:val="99"/>
    <w:semiHidden/>
    <w:unhideWhenUsed/>
    <w:rsid w:val="000F389B"/>
    <w:rPr>
      <w:b/>
      <w:bCs/>
    </w:rPr>
  </w:style>
  <w:style w:type="character" w:customStyle="1" w:styleId="KommentarthemaZchn">
    <w:name w:val="Kommentarthema Zchn"/>
    <w:link w:val="Kommentarthema"/>
    <w:uiPriority w:val="99"/>
    <w:semiHidden/>
    <w:rsid w:val="000F389B"/>
    <w:rPr>
      <w:rFonts w:ascii="Dutch Roman 12pt" w:hAnsi="Dutch Roman 12pt" w:cs="Arial Narrow"/>
      <w:b/>
      <w:bCs/>
    </w:rPr>
  </w:style>
  <w:style w:type="character" w:customStyle="1" w:styleId="zit">
    <w:name w:val="zit"/>
    <w:rsid w:val="00CB2753"/>
  </w:style>
  <w:style w:type="character" w:styleId="Hyperlink">
    <w:name w:val="Hyperlink"/>
    <w:uiPriority w:val="99"/>
    <w:semiHidden/>
    <w:unhideWhenUsed/>
    <w:rsid w:val="00CB2753"/>
    <w:rPr>
      <w:color w:val="0000FF"/>
      <w:u w:val="single"/>
    </w:rPr>
  </w:style>
  <w:style w:type="character" w:customStyle="1" w:styleId="n">
    <w:name w:val="n"/>
    <w:rsid w:val="00267542"/>
  </w:style>
  <w:style w:type="paragraph" w:customStyle="1" w:styleId="FarbigeSchattierung-Akzent11">
    <w:name w:val="Farbige Schattierung - Akzent 11"/>
    <w:hidden/>
    <w:uiPriority w:val="71"/>
    <w:rsid w:val="00C374B1"/>
    <w:rPr>
      <w:rFonts w:ascii="Dutch Roman 12pt" w:hAnsi="Dutch Roman 12pt" w:cs="Arial Narrow"/>
      <w:sz w:val="24"/>
      <w:szCs w:val="24"/>
    </w:rPr>
  </w:style>
  <w:style w:type="paragraph" w:styleId="berarbeitung">
    <w:name w:val="Revision"/>
    <w:hidden/>
    <w:uiPriority w:val="71"/>
    <w:rsid w:val="00197705"/>
    <w:rPr>
      <w:rFonts w:ascii="Dutch Roman 12pt" w:hAnsi="Dutch Roman 12pt"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33D69-74BE-42A2-AF24-304F2AB9B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1225</Words>
  <Characters>7723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Professor Dr</vt:lpstr>
    </vt:vector>
  </TitlesOfParts>
  <Company>Humboldt-Universität zu Berlin</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Dr</dc:title>
  <dc:subject/>
  <dc:creator>Juristische Fakultät</dc:creator>
  <cp:keywords/>
  <cp:lastModifiedBy>Judith Schult</cp:lastModifiedBy>
  <cp:revision>2</cp:revision>
  <cp:lastPrinted>2020-10-30T14:35:00Z</cp:lastPrinted>
  <dcterms:created xsi:type="dcterms:W3CDTF">2024-10-10T13:37:00Z</dcterms:created>
  <dcterms:modified xsi:type="dcterms:W3CDTF">2024-10-10T13:37:00Z</dcterms:modified>
</cp:coreProperties>
</file>