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EDAF" w14:textId="3FE19F81" w:rsidR="007F11C2" w:rsidRDefault="007F11C2" w:rsidP="00DA4EFA">
      <w:pPr>
        <w:tabs>
          <w:tab w:val="right" w:pos="10206"/>
        </w:tabs>
        <w:jc w:val="both"/>
        <w:rPr>
          <w:spacing w:val="-3"/>
        </w:rPr>
      </w:pPr>
      <w:r>
        <w:rPr>
          <w:b/>
          <w:spacing w:val="-3"/>
        </w:rPr>
        <w:t xml:space="preserve">Prof. Dr. </w:t>
      </w:r>
      <w:r w:rsidR="00A37B64">
        <w:rPr>
          <w:b/>
          <w:spacing w:val="-3"/>
        </w:rPr>
        <w:t xml:space="preserve">Dr. h.c. </w:t>
      </w:r>
      <w:r>
        <w:rPr>
          <w:b/>
          <w:spacing w:val="-3"/>
        </w:rPr>
        <w:t>Bernd Heinrich/</w:t>
      </w:r>
      <w:r w:rsidR="00594411">
        <w:rPr>
          <w:b/>
          <w:spacing w:val="-3"/>
        </w:rPr>
        <w:t>Pr</w:t>
      </w:r>
      <w:r w:rsidR="000F1D44">
        <w:rPr>
          <w:b/>
          <w:spacing w:val="-3"/>
        </w:rPr>
        <w:t>of</w:t>
      </w:r>
      <w:r w:rsidR="00594411">
        <w:rPr>
          <w:b/>
          <w:spacing w:val="-3"/>
        </w:rPr>
        <w:t xml:space="preserve">. </w:t>
      </w:r>
      <w:r>
        <w:rPr>
          <w:b/>
          <w:spacing w:val="-3"/>
        </w:rPr>
        <w:t>Dr. Tobias Reinbacher</w:t>
      </w:r>
      <w:r>
        <w:rPr>
          <w:b/>
          <w:spacing w:val="-3"/>
        </w:rPr>
        <w:tab/>
        <w:t xml:space="preserve">Stand: 1. </w:t>
      </w:r>
      <w:r w:rsidR="005B13B7">
        <w:rPr>
          <w:b/>
          <w:spacing w:val="-3"/>
        </w:rPr>
        <w:t>Oktober</w:t>
      </w:r>
      <w:r w:rsidR="006211EA">
        <w:rPr>
          <w:b/>
          <w:spacing w:val="-3"/>
        </w:rPr>
        <w:t xml:space="preserve"> </w:t>
      </w:r>
      <w:r w:rsidR="00B3166E">
        <w:rPr>
          <w:b/>
          <w:spacing w:val="-3"/>
        </w:rPr>
        <w:t>20</w:t>
      </w:r>
      <w:r w:rsidR="000D682F">
        <w:rPr>
          <w:b/>
          <w:spacing w:val="-3"/>
        </w:rPr>
        <w:t>2</w:t>
      </w:r>
      <w:r w:rsidR="00AF1B12">
        <w:rPr>
          <w:b/>
          <w:spacing w:val="-3"/>
        </w:rPr>
        <w:t>4</w:t>
      </w:r>
    </w:p>
    <w:p w14:paraId="211F3BDA" w14:textId="53464D63" w:rsidR="007F11C2" w:rsidRDefault="007F11C2" w:rsidP="007F11C2">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AF1B12">
        <w:rPr>
          <w:b/>
          <w:spacing w:val="-3"/>
        </w:rPr>
        <w:t> </w:t>
      </w:r>
      <w:r>
        <w:rPr>
          <w:b/>
          <w:spacing w:val="-3"/>
        </w:rPr>
        <w:t>33</w:t>
      </w:r>
    </w:p>
    <w:p w14:paraId="4647D58A" w14:textId="77777777" w:rsidR="007F11C2" w:rsidRPr="00DA4EFA" w:rsidRDefault="007F11C2" w:rsidP="007F11C2">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DA4EFA">
        <w:rPr>
          <w:b/>
          <w:spacing w:val="-7"/>
          <w:sz w:val="52"/>
          <w:szCs w:val="52"/>
        </w:rPr>
        <w:t>Beweisverwertungsverbote VIII – Ausforschung durch Privatpersonen</w:t>
      </w:r>
    </w:p>
    <w:p w14:paraId="4CD7E394" w14:textId="77777777" w:rsidR="007F11C2" w:rsidRDefault="007F11C2">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7458D4">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0D682F">
        <w:rPr>
          <w:rFonts w:ascii="Times New Roman" w:hAnsi="Times New Roman"/>
          <w:noProof/>
          <w:vanish/>
          <w:spacing w:val="-7"/>
          <w:sz w:val="60"/>
        </w:rPr>
        <w:t>1</w:t>
      </w:r>
      <w:r>
        <w:rPr>
          <w:rFonts w:ascii="Times New Roman" w:hAnsi="Times New Roman"/>
          <w:vanish/>
          <w:spacing w:val="-7"/>
          <w:sz w:val="60"/>
        </w:rPr>
        <w:fldChar w:fldCharType="end"/>
      </w:r>
    </w:p>
    <w:p w14:paraId="11427372" w14:textId="77777777" w:rsidR="007F11C2" w:rsidRPr="0062399A" w:rsidRDefault="007F11C2">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2"/>
        </w:rPr>
      </w:pPr>
    </w:p>
    <w:p w14:paraId="3D538540" w14:textId="47EBEF8D" w:rsidR="009F42F1" w:rsidRPr="00A43FF8" w:rsidRDefault="007F11C2" w:rsidP="009F42F1">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8"/>
          <w:szCs w:val="18"/>
        </w:rPr>
      </w:pPr>
      <w:r w:rsidRPr="00A43FF8">
        <w:rPr>
          <w:rFonts w:ascii="Times New Roman" w:hAnsi="Times New Roman"/>
          <w:b/>
          <w:spacing w:val="-2"/>
          <w:sz w:val="18"/>
          <w:szCs w:val="18"/>
        </w:rPr>
        <w:t>I.</w:t>
      </w:r>
      <w:r w:rsidRPr="00A43FF8">
        <w:rPr>
          <w:rFonts w:ascii="Times New Roman" w:hAnsi="Times New Roman"/>
          <w:b/>
          <w:spacing w:val="-2"/>
          <w:sz w:val="18"/>
          <w:szCs w:val="18"/>
        </w:rPr>
        <w:tab/>
        <w:t xml:space="preserve">Allgemeines: </w:t>
      </w:r>
      <w:r w:rsidRPr="00A43FF8">
        <w:rPr>
          <w:rFonts w:ascii="Times New Roman" w:hAnsi="Times New Roman"/>
          <w:spacing w:val="-2"/>
          <w:sz w:val="18"/>
          <w:szCs w:val="18"/>
        </w:rPr>
        <w:t>Grundsätzlich richten sich die Vorschriften der StPO nur an die staatlichen Ermittler. Beweisverwertungsverbote bestehen daher regelmäßig auch nur für rechtswidrig, d.h. unter Verstoß gegen die Normen der StPO, erlangte Beweismittel. Verschafft sich eine Privatperson Beweismittel gegen den Beschuldigten und übermittelt diese an die staatlichen Behörden, so greifen die Vorschriften der StPO nicht für diese Beweisbeschaffung, sodass auch daraus resultierende Beweisverwertungsverbote regelmäßig nicht bestehen. Zudem scheidet auch eine analoge Anwendung der Normen der StPO aus, denn bei Eigeninitiative der Privatperson haben sich die Strafverfolgungsbehörden ja einwandfrei verhalten. Das Vorgehen einer Privatperson kann nicht das Strafverfahren blockieren. Gleichwohl sind in bestimmten Fällen Ausnahmen von diesem Grundsatz zu machen (d</w:t>
      </w:r>
      <w:r w:rsidR="00507B07" w:rsidRPr="00A43FF8">
        <w:rPr>
          <w:rFonts w:ascii="Times New Roman" w:hAnsi="Times New Roman"/>
          <w:spacing w:val="-2"/>
          <w:sz w:val="18"/>
          <w:szCs w:val="18"/>
        </w:rPr>
        <w:t xml:space="preserve">azu unter II.). Die Problematik </w:t>
      </w:r>
      <w:r w:rsidRPr="00A43FF8">
        <w:rPr>
          <w:rFonts w:ascii="Times New Roman" w:hAnsi="Times New Roman"/>
          <w:spacing w:val="-2"/>
          <w:sz w:val="18"/>
          <w:szCs w:val="18"/>
        </w:rPr>
        <w:t xml:space="preserve">hat </w:t>
      </w:r>
      <w:r w:rsidR="003420AB" w:rsidRPr="00A43FF8">
        <w:rPr>
          <w:rFonts w:ascii="Times New Roman" w:hAnsi="Times New Roman"/>
          <w:spacing w:val="-2"/>
          <w:sz w:val="18"/>
          <w:szCs w:val="18"/>
        </w:rPr>
        <w:t xml:space="preserve">z.B. </w:t>
      </w:r>
      <w:r w:rsidRPr="00A43FF8">
        <w:rPr>
          <w:rFonts w:ascii="Times New Roman" w:hAnsi="Times New Roman"/>
          <w:spacing w:val="-2"/>
          <w:sz w:val="18"/>
          <w:szCs w:val="18"/>
        </w:rPr>
        <w:t xml:space="preserve">im Zusammenhang mit dem </w:t>
      </w:r>
      <w:r w:rsidRPr="00A43FF8">
        <w:rPr>
          <w:rFonts w:ascii="Times New Roman" w:hAnsi="Times New Roman"/>
          <w:b/>
          <w:spacing w:val="-2"/>
          <w:sz w:val="18"/>
          <w:szCs w:val="18"/>
        </w:rPr>
        <w:t>Ankauf</w:t>
      </w:r>
      <w:r w:rsidRPr="00A43FF8">
        <w:rPr>
          <w:rFonts w:ascii="Times New Roman" w:hAnsi="Times New Roman"/>
          <w:spacing w:val="-2"/>
          <w:sz w:val="18"/>
          <w:szCs w:val="18"/>
        </w:rPr>
        <w:t xml:space="preserve"> </w:t>
      </w:r>
      <w:r w:rsidRPr="00A43FF8">
        <w:rPr>
          <w:rFonts w:ascii="Times New Roman" w:hAnsi="Times New Roman"/>
          <w:b/>
          <w:spacing w:val="-2"/>
          <w:sz w:val="18"/>
          <w:szCs w:val="18"/>
        </w:rPr>
        <w:t>von illegal durch Private erworbenen</w:t>
      </w:r>
      <w:r w:rsidRPr="00A43FF8">
        <w:rPr>
          <w:rFonts w:ascii="Times New Roman" w:hAnsi="Times New Roman"/>
          <w:spacing w:val="-2"/>
          <w:sz w:val="18"/>
          <w:szCs w:val="18"/>
        </w:rPr>
        <w:t xml:space="preserve"> </w:t>
      </w:r>
      <w:r w:rsidRPr="00A43FF8">
        <w:rPr>
          <w:rFonts w:ascii="Times New Roman" w:hAnsi="Times New Roman"/>
          <w:b/>
          <w:spacing w:val="-2"/>
          <w:sz w:val="18"/>
          <w:szCs w:val="18"/>
        </w:rPr>
        <w:t>Daten</w:t>
      </w:r>
      <w:r w:rsidRPr="00A43FF8">
        <w:rPr>
          <w:rFonts w:ascii="Times New Roman" w:hAnsi="Times New Roman"/>
          <w:spacing w:val="-2"/>
          <w:sz w:val="18"/>
          <w:szCs w:val="18"/>
        </w:rPr>
        <w:t xml:space="preserve"> </w:t>
      </w:r>
      <w:r w:rsidRPr="00A43FF8">
        <w:rPr>
          <w:rFonts w:ascii="Times New Roman" w:hAnsi="Times New Roman"/>
          <w:b/>
          <w:spacing w:val="-2"/>
          <w:sz w:val="18"/>
          <w:szCs w:val="18"/>
        </w:rPr>
        <w:t>über Steuerhinterziehungen</w:t>
      </w:r>
      <w:r w:rsidRPr="00A43FF8">
        <w:rPr>
          <w:rFonts w:ascii="Times New Roman" w:hAnsi="Times New Roman"/>
          <w:spacing w:val="-2"/>
          <w:sz w:val="18"/>
          <w:szCs w:val="18"/>
        </w:rPr>
        <w:t xml:space="preserve"> Bedeutung erlangt</w:t>
      </w:r>
      <w:r w:rsidR="006A212F" w:rsidRPr="00A43FF8">
        <w:rPr>
          <w:rFonts w:ascii="Times New Roman" w:hAnsi="Times New Roman"/>
          <w:spacing w:val="-2"/>
          <w:sz w:val="18"/>
          <w:szCs w:val="18"/>
        </w:rPr>
        <w:t xml:space="preserve">. Das LG Bochum hat </w:t>
      </w:r>
      <w:r w:rsidR="00AF1B12">
        <w:rPr>
          <w:rFonts w:ascii="Times New Roman" w:hAnsi="Times New Roman"/>
          <w:spacing w:val="-2"/>
          <w:sz w:val="18"/>
          <w:szCs w:val="18"/>
        </w:rPr>
        <w:t>in einem</w:t>
      </w:r>
      <w:r w:rsidR="00AF1B12" w:rsidRPr="00A43FF8">
        <w:rPr>
          <w:rFonts w:ascii="Times New Roman" w:hAnsi="Times New Roman"/>
          <w:spacing w:val="-2"/>
          <w:sz w:val="18"/>
          <w:szCs w:val="18"/>
        </w:rPr>
        <w:t xml:space="preserve"> </w:t>
      </w:r>
      <w:r w:rsidR="006A212F" w:rsidRPr="00A43FF8">
        <w:rPr>
          <w:rFonts w:ascii="Times New Roman" w:hAnsi="Times New Roman"/>
          <w:spacing w:val="-2"/>
          <w:sz w:val="18"/>
          <w:szCs w:val="18"/>
        </w:rPr>
        <w:t>Beschluss (</w:t>
      </w:r>
      <w:r w:rsidR="00AF1B12">
        <w:rPr>
          <w:rFonts w:ascii="Times New Roman" w:hAnsi="Times New Roman"/>
          <w:spacing w:val="-2"/>
          <w:sz w:val="18"/>
          <w:szCs w:val="18"/>
        </w:rPr>
        <w:t>BeckRS 2010, 7104</w:t>
      </w:r>
      <w:r w:rsidR="006A212F" w:rsidRPr="00A43FF8">
        <w:rPr>
          <w:rFonts w:ascii="Times New Roman" w:hAnsi="Times New Roman"/>
          <w:spacing w:val="-2"/>
          <w:sz w:val="18"/>
          <w:szCs w:val="18"/>
        </w:rPr>
        <w:t>) klargestellt, dass der strafbare Ankauf von Beweismitteln nicht dazu führt, dass das Ermittlungsverfahren als ein nach rechtsstaatlichen Grundsätzen geordnetes Verfahren nachhaltig beschädigt wird</w:t>
      </w:r>
      <w:r w:rsidR="0062399A" w:rsidRPr="00A43FF8">
        <w:rPr>
          <w:rFonts w:ascii="Times New Roman" w:hAnsi="Times New Roman"/>
          <w:spacing w:val="-2"/>
          <w:sz w:val="18"/>
          <w:szCs w:val="18"/>
        </w:rPr>
        <w:t xml:space="preserve"> und eine Verwertbarkeit bejaht (nicht beanstandet vom BVerfG NStZ 2011, 103)</w:t>
      </w:r>
      <w:r w:rsidR="006A212F" w:rsidRPr="00A43FF8">
        <w:rPr>
          <w:rFonts w:ascii="Times New Roman" w:hAnsi="Times New Roman"/>
          <w:spacing w:val="-2"/>
          <w:sz w:val="18"/>
          <w:szCs w:val="18"/>
        </w:rPr>
        <w:t xml:space="preserve">. Dies gilt jedenfalls dann, wenn ein </w:t>
      </w:r>
      <w:r w:rsidR="006A212F" w:rsidRPr="00A43FF8">
        <w:rPr>
          <w:rFonts w:ascii="Times New Roman" w:hAnsi="Times New Roman"/>
          <w:b/>
          <w:spacing w:val="-2"/>
          <w:sz w:val="18"/>
          <w:szCs w:val="18"/>
        </w:rPr>
        <w:t>strafrechtlich relevantes Verhalten einer Privatperson</w:t>
      </w:r>
      <w:r w:rsidR="006A212F" w:rsidRPr="00A43FF8">
        <w:rPr>
          <w:rFonts w:ascii="Times New Roman" w:hAnsi="Times New Roman"/>
          <w:spacing w:val="-2"/>
          <w:sz w:val="18"/>
          <w:szCs w:val="18"/>
        </w:rPr>
        <w:t xml:space="preserve"> vorliegt, das </w:t>
      </w:r>
      <w:r w:rsidR="006A212F" w:rsidRPr="00A43FF8">
        <w:rPr>
          <w:rFonts w:ascii="Times New Roman" w:hAnsi="Times New Roman"/>
          <w:b/>
          <w:spacing w:val="-2"/>
          <w:sz w:val="18"/>
          <w:szCs w:val="18"/>
        </w:rPr>
        <w:t xml:space="preserve">staatliche Behörden </w:t>
      </w:r>
      <w:r w:rsidR="006A212F" w:rsidRPr="00A43FF8">
        <w:rPr>
          <w:rFonts w:ascii="Times New Roman" w:hAnsi="Times New Roman"/>
          <w:spacing w:val="-2"/>
          <w:sz w:val="18"/>
          <w:szCs w:val="18"/>
        </w:rPr>
        <w:t>nur nachgelagert</w:t>
      </w:r>
      <w:r w:rsidR="006A212F" w:rsidRPr="00A43FF8">
        <w:rPr>
          <w:rFonts w:ascii="Times New Roman" w:hAnsi="Times New Roman"/>
          <w:b/>
          <w:spacing w:val="-2"/>
          <w:sz w:val="18"/>
          <w:szCs w:val="18"/>
        </w:rPr>
        <w:t xml:space="preserve"> ausnutzen</w:t>
      </w:r>
      <w:r w:rsidR="006A212F" w:rsidRPr="00A43FF8">
        <w:rPr>
          <w:rFonts w:ascii="Times New Roman" w:hAnsi="Times New Roman"/>
          <w:spacing w:val="-2"/>
          <w:sz w:val="18"/>
          <w:szCs w:val="18"/>
        </w:rPr>
        <w:t xml:space="preserve">. Beweismittel, die durch Private in rechtswidriger Art und Weise gewonnen werden, sind hiernach </w:t>
      </w:r>
      <w:r w:rsidR="006A212F" w:rsidRPr="00A43FF8">
        <w:rPr>
          <w:rFonts w:ascii="Times New Roman" w:hAnsi="Times New Roman"/>
          <w:b/>
          <w:spacing w:val="-2"/>
          <w:sz w:val="18"/>
          <w:szCs w:val="18"/>
        </w:rPr>
        <w:t>grundsätzlich verwertbar</w:t>
      </w:r>
      <w:r w:rsidR="006A212F" w:rsidRPr="00A43FF8">
        <w:rPr>
          <w:rFonts w:ascii="Times New Roman" w:hAnsi="Times New Roman"/>
          <w:spacing w:val="-2"/>
          <w:sz w:val="18"/>
          <w:szCs w:val="18"/>
        </w:rPr>
        <w:t xml:space="preserve">. Maßgeblich beeinflusst wird das Ergebnis der vorzunehmenden </w:t>
      </w:r>
      <w:r w:rsidR="006A212F" w:rsidRPr="00A43FF8">
        <w:rPr>
          <w:rFonts w:ascii="Times New Roman" w:hAnsi="Times New Roman"/>
          <w:b/>
          <w:spacing w:val="-2"/>
          <w:sz w:val="18"/>
          <w:szCs w:val="18"/>
        </w:rPr>
        <w:t>Abwägung</w:t>
      </w:r>
      <w:r w:rsidR="006A212F" w:rsidRPr="00A43FF8">
        <w:rPr>
          <w:rFonts w:ascii="Times New Roman" w:hAnsi="Times New Roman"/>
          <w:spacing w:val="-2"/>
          <w:sz w:val="18"/>
          <w:szCs w:val="18"/>
        </w:rPr>
        <w:t xml:space="preserve"> jedoch stets vom Gewicht des infrage stehenden Verfahrensverstoßes. Ähnlich argumentiert auch das OLG Stuttgart (</w:t>
      </w:r>
      <w:r w:rsidR="00AF1B12">
        <w:rPr>
          <w:rFonts w:ascii="Times New Roman" w:hAnsi="Times New Roman"/>
          <w:spacing w:val="-2"/>
          <w:sz w:val="18"/>
          <w:szCs w:val="18"/>
        </w:rPr>
        <w:t>NJW 2016, 2280</w:t>
      </w:r>
      <w:r w:rsidR="006A212F" w:rsidRPr="00A43FF8">
        <w:rPr>
          <w:rFonts w:ascii="Times New Roman" w:hAnsi="Times New Roman"/>
          <w:spacing w:val="-2"/>
          <w:sz w:val="18"/>
          <w:szCs w:val="18"/>
        </w:rPr>
        <w:t xml:space="preserve">) im Zusammenhang mit der </w:t>
      </w:r>
      <w:r w:rsidR="006A212F" w:rsidRPr="00A43FF8">
        <w:rPr>
          <w:rFonts w:ascii="Times New Roman" w:hAnsi="Times New Roman"/>
          <w:b/>
          <w:spacing w:val="-2"/>
          <w:sz w:val="18"/>
          <w:szCs w:val="18"/>
        </w:rPr>
        <w:t>Verwertung privat gefertigter Dashcam-Videos im Verkehrs-Bußgeldverfahren</w:t>
      </w:r>
      <w:r w:rsidR="006A212F" w:rsidRPr="00A43FF8">
        <w:rPr>
          <w:rFonts w:ascii="Times New Roman" w:hAnsi="Times New Roman"/>
          <w:spacing w:val="-2"/>
          <w:sz w:val="18"/>
          <w:szCs w:val="18"/>
        </w:rPr>
        <w:t>: Aus einem Verstoß eines Verkehrsteilnehmers beim Betrieb einer Dashcam (</w:t>
      </w:r>
      <w:r w:rsidR="002744CB" w:rsidRPr="00A43FF8">
        <w:rPr>
          <w:rFonts w:ascii="Times New Roman" w:hAnsi="Times New Roman"/>
          <w:spacing w:val="-2"/>
          <w:sz w:val="18"/>
          <w:szCs w:val="18"/>
        </w:rPr>
        <w:t>engl. für Armaturenbrett</w:t>
      </w:r>
      <w:r w:rsidR="006A212F" w:rsidRPr="00A43FF8">
        <w:rPr>
          <w:rFonts w:ascii="Times New Roman" w:hAnsi="Times New Roman"/>
          <w:spacing w:val="-2"/>
          <w:sz w:val="18"/>
          <w:szCs w:val="18"/>
        </w:rPr>
        <w:t>-Kamera) gegen das datenschutzrechtliche Verbot gem. § 6b BDSG</w:t>
      </w:r>
      <w:r w:rsidR="00A6444C">
        <w:rPr>
          <w:rFonts w:ascii="Times New Roman" w:hAnsi="Times New Roman"/>
          <w:spacing w:val="-2"/>
          <w:sz w:val="18"/>
          <w:szCs w:val="18"/>
        </w:rPr>
        <w:t xml:space="preserve"> a.F.</w:t>
      </w:r>
      <w:r w:rsidR="006A212F" w:rsidRPr="00A43FF8">
        <w:rPr>
          <w:rFonts w:ascii="Times New Roman" w:hAnsi="Times New Roman"/>
          <w:spacing w:val="-2"/>
          <w:sz w:val="18"/>
          <w:szCs w:val="18"/>
        </w:rPr>
        <w:t xml:space="preserve"> </w:t>
      </w:r>
      <w:r w:rsidR="003C333D">
        <w:rPr>
          <w:rFonts w:ascii="Times New Roman" w:hAnsi="Times New Roman"/>
          <w:spacing w:val="-2"/>
          <w:sz w:val="18"/>
          <w:szCs w:val="18"/>
        </w:rPr>
        <w:t>(§ 4 BDSG n.F.</w:t>
      </w:r>
      <w:r w:rsidR="00AC5498">
        <w:rPr>
          <w:rFonts w:ascii="Times New Roman" w:hAnsi="Times New Roman"/>
          <w:spacing w:val="-2"/>
          <w:sz w:val="18"/>
          <w:szCs w:val="18"/>
        </w:rPr>
        <w:t>)</w:t>
      </w:r>
      <w:r w:rsidR="003C333D">
        <w:rPr>
          <w:rFonts w:ascii="Times New Roman" w:hAnsi="Times New Roman"/>
          <w:spacing w:val="-2"/>
          <w:sz w:val="18"/>
          <w:szCs w:val="18"/>
        </w:rPr>
        <w:t xml:space="preserve"> </w:t>
      </w:r>
      <w:r w:rsidR="006A212F" w:rsidRPr="00A43FF8">
        <w:rPr>
          <w:rFonts w:ascii="Times New Roman" w:hAnsi="Times New Roman"/>
          <w:spacing w:val="-2"/>
          <w:sz w:val="18"/>
          <w:szCs w:val="18"/>
        </w:rPr>
        <w:t>folg</w:t>
      </w:r>
      <w:r w:rsidR="00AF1B12">
        <w:rPr>
          <w:rFonts w:ascii="Times New Roman" w:hAnsi="Times New Roman"/>
          <w:spacing w:val="-2"/>
          <w:sz w:val="18"/>
          <w:szCs w:val="18"/>
        </w:rPr>
        <w:t>e</w:t>
      </w:r>
      <w:r w:rsidR="006A212F" w:rsidRPr="00A43FF8">
        <w:rPr>
          <w:rFonts w:ascii="Times New Roman" w:hAnsi="Times New Roman"/>
          <w:spacing w:val="-2"/>
          <w:sz w:val="18"/>
          <w:szCs w:val="18"/>
        </w:rPr>
        <w:t xml:space="preserve"> </w:t>
      </w:r>
      <w:r w:rsidR="006A212F" w:rsidRPr="00A43FF8">
        <w:rPr>
          <w:rFonts w:ascii="Times New Roman" w:hAnsi="Times New Roman"/>
          <w:b/>
          <w:spacing w:val="-2"/>
          <w:sz w:val="18"/>
          <w:szCs w:val="18"/>
        </w:rPr>
        <w:t>nicht</w:t>
      </w:r>
      <w:r w:rsidR="006A212F" w:rsidRPr="00A43FF8">
        <w:rPr>
          <w:rFonts w:ascii="Times New Roman" w:hAnsi="Times New Roman"/>
          <w:spacing w:val="-2"/>
          <w:sz w:val="18"/>
          <w:szCs w:val="18"/>
        </w:rPr>
        <w:t xml:space="preserve"> zwingend ein </w:t>
      </w:r>
      <w:r w:rsidR="006A212F" w:rsidRPr="00A43FF8">
        <w:rPr>
          <w:rFonts w:ascii="Times New Roman" w:hAnsi="Times New Roman"/>
          <w:b/>
          <w:spacing w:val="-2"/>
          <w:sz w:val="18"/>
          <w:szCs w:val="18"/>
        </w:rPr>
        <w:t>Beweisverwertungsverbot im Straf- und Bußgeldverfahren</w:t>
      </w:r>
      <w:r w:rsidR="006A212F" w:rsidRPr="00A43FF8">
        <w:rPr>
          <w:rFonts w:ascii="Times New Roman" w:hAnsi="Times New Roman"/>
          <w:spacing w:val="-2"/>
          <w:sz w:val="18"/>
          <w:szCs w:val="18"/>
        </w:rPr>
        <w:t xml:space="preserve">. </w:t>
      </w:r>
      <w:r w:rsidR="00A6444C">
        <w:rPr>
          <w:rFonts w:ascii="Times New Roman" w:hAnsi="Times New Roman"/>
          <w:spacing w:val="-2"/>
          <w:sz w:val="18"/>
          <w:szCs w:val="18"/>
        </w:rPr>
        <w:t>Diese</w:t>
      </w:r>
      <w:r w:rsidR="005505CA">
        <w:rPr>
          <w:rFonts w:ascii="Times New Roman" w:hAnsi="Times New Roman"/>
          <w:spacing w:val="-2"/>
          <w:sz w:val="18"/>
          <w:szCs w:val="18"/>
        </w:rPr>
        <w:t xml:space="preserve"> Ansicht wird durch eine zivil</w:t>
      </w:r>
      <w:r w:rsidR="00AC5498">
        <w:rPr>
          <w:rFonts w:ascii="Times New Roman" w:hAnsi="Times New Roman"/>
          <w:spacing w:val="-2"/>
          <w:sz w:val="18"/>
          <w:szCs w:val="18"/>
        </w:rPr>
        <w:t>rech</w:t>
      </w:r>
      <w:r w:rsidR="005505CA">
        <w:rPr>
          <w:rFonts w:ascii="Times New Roman" w:hAnsi="Times New Roman"/>
          <w:spacing w:val="-2"/>
          <w:sz w:val="18"/>
          <w:szCs w:val="18"/>
        </w:rPr>
        <w:t>tliche BGH-Entscheidung aus dem Jahr 2018 gestützt (BGHZ 218, 348). Der</w:t>
      </w:r>
      <w:r w:rsidR="00A6444C">
        <w:rPr>
          <w:rFonts w:ascii="Times New Roman" w:hAnsi="Times New Roman"/>
          <w:spacing w:val="-2"/>
          <w:sz w:val="18"/>
          <w:szCs w:val="18"/>
        </w:rPr>
        <w:t xml:space="preserve"> Grundsatz behält auch</w:t>
      </w:r>
      <w:r w:rsidR="005505CA">
        <w:rPr>
          <w:rFonts w:ascii="Times New Roman" w:hAnsi="Times New Roman"/>
          <w:spacing w:val="-2"/>
          <w:sz w:val="18"/>
          <w:szCs w:val="18"/>
        </w:rPr>
        <w:t xml:space="preserve"> nach dem Außerkrafttreten des BDSG a.F. </w:t>
      </w:r>
      <w:r w:rsidR="00A6444C">
        <w:rPr>
          <w:rFonts w:ascii="Times New Roman" w:hAnsi="Times New Roman"/>
          <w:spacing w:val="-2"/>
          <w:sz w:val="18"/>
          <w:szCs w:val="18"/>
        </w:rPr>
        <w:t>i.R. der</w:t>
      </w:r>
      <w:r w:rsidR="005505CA">
        <w:rPr>
          <w:rFonts w:ascii="Times New Roman" w:hAnsi="Times New Roman"/>
          <w:spacing w:val="-2"/>
          <w:sz w:val="18"/>
          <w:szCs w:val="18"/>
        </w:rPr>
        <w:t xml:space="preserve"> nun</w:t>
      </w:r>
      <w:r w:rsidR="00A6444C">
        <w:rPr>
          <w:rFonts w:ascii="Times New Roman" w:hAnsi="Times New Roman"/>
          <w:spacing w:val="-2"/>
          <w:sz w:val="18"/>
          <w:szCs w:val="18"/>
        </w:rPr>
        <w:t xml:space="preserve"> nach Art. 6 I </w:t>
      </w:r>
      <w:proofErr w:type="spellStart"/>
      <w:r w:rsidR="00A6444C">
        <w:rPr>
          <w:rFonts w:ascii="Times New Roman" w:hAnsi="Times New Roman"/>
          <w:spacing w:val="-2"/>
          <w:sz w:val="18"/>
          <w:szCs w:val="18"/>
        </w:rPr>
        <w:t>lit</w:t>
      </w:r>
      <w:proofErr w:type="spellEnd"/>
      <w:r w:rsidR="00A6444C">
        <w:rPr>
          <w:rFonts w:ascii="Times New Roman" w:hAnsi="Times New Roman"/>
          <w:spacing w:val="-2"/>
          <w:sz w:val="18"/>
          <w:szCs w:val="18"/>
        </w:rPr>
        <w:t xml:space="preserve">. f) EU-DSGVO erforderlichen Abwägung seine Gültigkeit. </w:t>
      </w:r>
      <w:r w:rsidR="006A212F" w:rsidRPr="00A43FF8">
        <w:rPr>
          <w:rFonts w:ascii="Times New Roman" w:hAnsi="Times New Roman"/>
          <w:spacing w:val="-2"/>
          <w:sz w:val="18"/>
          <w:szCs w:val="18"/>
        </w:rPr>
        <w:t xml:space="preserve">Ob ein Beweisverwertungsverbot vorliegt, ist im Einzelfall unter </w:t>
      </w:r>
      <w:r w:rsidR="006A212F" w:rsidRPr="00A43FF8">
        <w:rPr>
          <w:rFonts w:ascii="Times New Roman" w:hAnsi="Times New Roman"/>
          <w:b/>
          <w:spacing w:val="-2"/>
          <w:sz w:val="18"/>
          <w:szCs w:val="18"/>
        </w:rPr>
        <w:t>Abwägung</w:t>
      </w:r>
      <w:r w:rsidR="006A212F" w:rsidRPr="00A43FF8">
        <w:rPr>
          <w:rFonts w:ascii="Times New Roman" w:hAnsi="Times New Roman"/>
          <w:spacing w:val="-2"/>
          <w:sz w:val="18"/>
          <w:szCs w:val="18"/>
        </w:rPr>
        <w:t xml:space="preserve"> der widerstreitenden Interessen zu entscheiden. Im Ergebnis ist der Tatrichter grundsätzlich nicht gehindert, eine Videoaufzeichnung, die </w:t>
      </w:r>
      <w:r w:rsidR="006A212F" w:rsidRPr="00A43FF8">
        <w:rPr>
          <w:rFonts w:ascii="Times New Roman" w:hAnsi="Times New Roman"/>
          <w:b/>
          <w:spacing w:val="-2"/>
          <w:sz w:val="18"/>
          <w:szCs w:val="18"/>
        </w:rPr>
        <w:t xml:space="preserve">keine Einblicke in die engere Privatsphäre </w:t>
      </w:r>
      <w:r w:rsidR="006A212F" w:rsidRPr="00A43FF8">
        <w:rPr>
          <w:rFonts w:ascii="Times New Roman" w:hAnsi="Times New Roman"/>
          <w:spacing w:val="-2"/>
          <w:sz w:val="18"/>
          <w:szCs w:val="18"/>
        </w:rPr>
        <w:t xml:space="preserve">gewährt, sondern </w:t>
      </w:r>
      <w:r w:rsidR="006A212F" w:rsidRPr="00A43FF8">
        <w:rPr>
          <w:rFonts w:ascii="Times New Roman" w:hAnsi="Times New Roman"/>
          <w:b/>
          <w:spacing w:val="-2"/>
          <w:sz w:val="18"/>
          <w:szCs w:val="18"/>
        </w:rPr>
        <w:t>lediglich Verkehrsvorgänge dokumentiert</w:t>
      </w:r>
      <w:r w:rsidR="006A212F" w:rsidRPr="00A43FF8">
        <w:rPr>
          <w:rFonts w:ascii="Times New Roman" w:hAnsi="Times New Roman"/>
          <w:spacing w:val="-2"/>
          <w:sz w:val="18"/>
          <w:szCs w:val="18"/>
        </w:rPr>
        <w:t xml:space="preserve">, zu verwerten, wenn dies zur </w:t>
      </w:r>
      <w:r w:rsidR="006A212F" w:rsidRPr="00A43FF8">
        <w:rPr>
          <w:rFonts w:ascii="Times New Roman" w:hAnsi="Times New Roman"/>
          <w:b/>
          <w:spacing w:val="-2"/>
          <w:sz w:val="18"/>
          <w:szCs w:val="18"/>
        </w:rPr>
        <w:t>Verfolgung</w:t>
      </w:r>
      <w:r w:rsidR="006A212F" w:rsidRPr="00A43FF8">
        <w:rPr>
          <w:rFonts w:ascii="Times New Roman" w:hAnsi="Times New Roman"/>
          <w:spacing w:val="-2"/>
          <w:sz w:val="18"/>
          <w:szCs w:val="18"/>
        </w:rPr>
        <w:t xml:space="preserve"> </w:t>
      </w:r>
      <w:r w:rsidR="006A212F" w:rsidRPr="00A43FF8">
        <w:rPr>
          <w:rFonts w:ascii="Times New Roman" w:hAnsi="Times New Roman"/>
          <w:b/>
          <w:spacing w:val="-2"/>
          <w:sz w:val="18"/>
          <w:szCs w:val="18"/>
        </w:rPr>
        <w:t>einer besonders verkehrssicherheitsbeeinträchtigenden Ordnungswidrigkeit</w:t>
      </w:r>
      <w:r w:rsidR="006A212F" w:rsidRPr="00A43FF8">
        <w:rPr>
          <w:rFonts w:ascii="Times New Roman" w:hAnsi="Times New Roman"/>
          <w:spacing w:val="-2"/>
          <w:sz w:val="18"/>
          <w:szCs w:val="18"/>
        </w:rPr>
        <w:t xml:space="preserve"> erforderlich ist.</w:t>
      </w:r>
    </w:p>
    <w:p w14:paraId="482BC1DD" w14:textId="77777777" w:rsidR="007F11C2" w:rsidRPr="00A43FF8" w:rsidRDefault="007F11C2" w:rsidP="009F42F1">
      <w:pPr>
        <w:widowControl/>
        <w:tabs>
          <w:tab w:val="left" w:pos="-720"/>
          <w:tab w:val="left" w:pos="284"/>
          <w:tab w:val="left" w:pos="864"/>
          <w:tab w:val="left" w:pos="1116"/>
          <w:tab w:val="left" w:pos="1404"/>
          <w:tab w:val="left" w:pos="1692"/>
          <w:tab w:val="left" w:pos="1980"/>
          <w:tab w:val="left" w:pos="2268"/>
          <w:tab w:val="left" w:pos="2880"/>
        </w:tabs>
        <w:jc w:val="both"/>
        <w:rPr>
          <w:rFonts w:ascii="Times New Roman" w:hAnsi="Times New Roman"/>
          <w:spacing w:val="-2"/>
          <w:sz w:val="18"/>
          <w:szCs w:val="18"/>
        </w:rPr>
      </w:pPr>
    </w:p>
    <w:p w14:paraId="51B91E6A" w14:textId="6AC115FB" w:rsidR="007F11C2" w:rsidRPr="00A43FF8" w:rsidRDefault="007F11C2" w:rsidP="007F11C2">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8"/>
          <w:szCs w:val="18"/>
        </w:rPr>
      </w:pPr>
      <w:r w:rsidRPr="00A43FF8">
        <w:rPr>
          <w:rFonts w:ascii="Times New Roman" w:hAnsi="Times New Roman"/>
          <w:b/>
          <w:spacing w:val="-2"/>
          <w:sz w:val="18"/>
          <w:szCs w:val="18"/>
        </w:rPr>
        <w:t>II. Ausnahmen – Beweisverwertungsverbote bei Beweisbeschaffung durch Privatpersonen:</w:t>
      </w:r>
      <w:r w:rsidRPr="00A43FF8">
        <w:rPr>
          <w:rFonts w:ascii="Times New Roman" w:hAnsi="Times New Roman"/>
          <w:spacing w:val="-2"/>
          <w:sz w:val="18"/>
          <w:szCs w:val="18"/>
        </w:rPr>
        <w:t xml:space="preserve"> In </w:t>
      </w:r>
      <w:r w:rsidR="00AF1B12">
        <w:rPr>
          <w:rFonts w:ascii="Times New Roman" w:hAnsi="Times New Roman"/>
          <w:spacing w:val="-2"/>
          <w:sz w:val="18"/>
          <w:szCs w:val="18"/>
        </w:rPr>
        <w:t>den folgenden</w:t>
      </w:r>
      <w:r w:rsidR="00AF1B12" w:rsidRPr="00A43FF8">
        <w:rPr>
          <w:rFonts w:ascii="Times New Roman" w:hAnsi="Times New Roman"/>
          <w:spacing w:val="-2"/>
          <w:sz w:val="18"/>
          <w:szCs w:val="18"/>
        </w:rPr>
        <w:t xml:space="preserve"> </w:t>
      </w:r>
      <w:r w:rsidRPr="00A43FF8">
        <w:rPr>
          <w:rFonts w:ascii="Times New Roman" w:hAnsi="Times New Roman"/>
          <w:spacing w:val="-2"/>
          <w:sz w:val="18"/>
          <w:szCs w:val="18"/>
        </w:rPr>
        <w:t>Fällen sind durch Privatpersonen auf rechtswidrige Weise erlangte Beweise unverwertbar:</w:t>
      </w:r>
    </w:p>
    <w:p w14:paraId="45D0AE43" w14:textId="6B256709" w:rsidR="007F11C2" w:rsidRPr="00A43FF8" w:rsidRDefault="007F11C2" w:rsidP="007F11C2">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A43FF8">
        <w:rPr>
          <w:rFonts w:ascii="Times New Roman" w:hAnsi="Times New Roman"/>
          <w:spacing w:val="-2"/>
          <w:sz w:val="18"/>
          <w:szCs w:val="18"/>
          <w:u w:val="single"/>
        </w:rPr>
        <w:t xml:space="preserve">1. </w:t>
      </w:r>
      <w:r w:rsidRPr="00A43FF8">
        <w:rPr>
          <w:rFonts w:ascii="Times New Roman" w:hAnsi="Times New Roman"/>
          <w:spacing w:val="-2"/>
          <w:sz w:val="18"/>
          <w:szCs w:val="18"/>
          <w:u w:val="single"/>
        </w:rPr>
        <w:tab/>
        <w:t>Staatliche Veranlassung:</w:t>
      </w:r>
      <w:r w:rsidRPr="00A43FF8">
        <w:rPr>
          <w:rFonts w:ascii="Times New Roman" w:hAnsi="Times New Roman"/>
          <w:spacing w:val="-2"/>
          <w:sz w:val="18"/>
          <w:szCs w:val="18"/>
        </w:rPr>
        <w:t xml:space="preserve"> Eine gewichtige Ausnahme besteht dann, wenn die staatlichen Behörden sich das Verhalten der Privatperson </w:t>
      </w:r>
      <w:r w:rsidRPr="00A43FF8">
        <w:rPr>
          <w:rFonts w:ascii="Times New Roman" w:hAnsi="Times New Roman"/>
          <w:b/>
          <w:spacing w:val="-2"/>
          <w:sz w:val="18"/>
          <w:szCs w:val="18"/>
        </w:rPr>
        <w:t xml:space="preserve">zurechnen </w:t>
      </w:r>
      <w:r w:rsidRPr="00A43FF8">
        <w:rPr>
          <w:rFonts w:ascii="Times New Roman" w:hAnsi="Times New Roman"/>
          <w:spacing w:val="-2"/>
          <w:sz w:val="18"/>
          <w:szCs w:val="18"/>
        </w:rPr>
        <w:t xml:space="preserve">lassen müssen. Dies ist </w:t>
      </w:r>
      <w:r w:rsidR="002744CB" w:rsidRPr="00A43FF8">
        <w:rPr>
          <w:rFonts w:ascii="Times New Roman" w:hAnsi="Times New Roman"/>
          <w:spacing w:val="-2"/>
          <w:sz w:val="18"/>
          <w:szCs w:val="18"/>
        </w:rPr>
        <w:t>anzunehmen</w:t>
      </w:r>
      <w:r w:rsidRPr="00A43FF8">
        <w:rPr>
          <w:rFonts w:ascii="Times New Roman" w:hAnsi="Times New Roman"/>
          <w:spacing w:val="-2"/>
          <w:sz w:val="18"/>
          <w:szCs w:val="18"/>
        </w:rPr>
        <w:t xml:space="preserve">, wenn die </w:t>
      </w:r>
      <w:proofErr w:type="spellStart"/>
      <w:r w:rsidRPr="00A43FF8">
        <w:rPr>
          <w:rFonts w:ascii="Times New Roman" w:hAnsi="Times New Roman"/>
          <w:spacing w:val="-2"/>
          <w:sz w:val="18"/>
          <w:szCs w:val="18"/>
        </w:rPr>
        <w:t>StA</w:t>
      </w:r>
      <w:proofErr w:type="spellEnd"/>
      <w:r w:rsidRPr="00A43FF8">
        <w:rPr>
          <w:rFonts w:ascii="Times New Roman" w:hAnsi="Times New Roman"/>
          <w:spacing w:val="-2"/>
          <w:sz w:val="18"/>
          <w:szCs w:val="18"/>
        </w:rPr>
        <w:t xml:space="preserve"> oder die Polizei das Handeln der Privatperson entweder </w:t>
      </w:r>
      <w:r w:rsidRPr="00A43FF8">
        <w:rPr>
          <w:rFonts w:ascii="Times New Roman" w:hAnsi="Times New Roman"/>
          <w:b/>
          <w:spacing w:val="-2"/>
          <w:sz w:val="18"/>
          <w:szCs w:val="18"/>
        </w:rPr>
        <w:t>gezielt veranlasst</w:t>
      </w:r>
      <w:r w:rsidRPr="00A43FF8">
        <w:rPr>
          <w:rFonts w:ascii="Times New Roman" w:hAnsi="Times New Roman"/>
          <w:spacing w:val="-2"/>
          <w:sz w:val="18"/>
          <w:szCs w:val="18"/>
        </w:rPr>
        <w:t xml:space="preserve"> oder jedenfalls wissentlich geduldet und gebilligt haben. </w:t>
      </w:r>
      <w:r w:rsidR="003C333D">
        <w:rPr>
          <w:rFonts w:ascii="Times New Roman" w:hAnsi="Times New Roman"/>
          <w:spacing w:val="-2"/>
          <w:sz w:val="18"/>
          <w:szCs w:val="18"/>
        </w:rPr>
        <w:t xml:space="preserve">Dann </w:t>
      </w:r>
      <w:r w:rsidRPr="00A43FF8">
        <w:rPr>
          <w:rFonts w:ascii="Times New Roman" w:hAnsi="Times New Roman"/>
          <w:spacing w:val="-2"/>
          <w:sz w:val="18"/>
          <w:szCs w:val="18"/>
        </w:rPr>
        <w:t>sind die Vorschriften der StPO, insb</w:t>
      </w:r>
      <w:r w:rsidR="00AF1B12">
        <w:rPr>
          <w:rFonts w:ascii="Times New Roman" w:hAnsi="Times New Roman"/>
          <w:spacing w:val="-2"/>
          <w:sz w:val="18"/>
          <w:szCs w:val="18"/>
        </w:rPr>
        <w:t>.</w:t>
      </w:r>
      <w:r w:rsidRPr="00A43FF8">
        <w:rPr>
          <w:rFonts w:ascii="Times New Roman" w:hAnsi="Times New Roman"/>
          <w:spacing w:val="-2"/>
          <w:sz w:val="18"/>
          <w:szCs w:val="18"/>
        </w:rPr>
        <w:t xml:space="preserve"> § 136a StPO, </w:t>
      </w:r>
      <w:r w:rsidRPr="00A43FF8">
        <w:rPr>
          <w:rFonts w:ascii="Times New Roman" w:hAnsi="Times New Roman"/>
          <w:b/>
          <w:spacing w:val="-2"/>
          <w:sz w:val="18"/>
          <w:szCs w:val="18"/>
        </w:rPr>
        <w:t>analog</w:t>
      </w:r>
      <w:r w:rsidRPr="00A43FF8">
        <w:rPr>
          <w:rFonts w:ascii="Times New Roman" w:hAnsi="Times New Roman"/>
          <w:spacing w:val="-2"/>
          <w:sz w:val="18"/>
          <w:szCs w:val="18"/>
        </w:rPr>
        <w:t xml:space="preserve"> anzuwenden. Der Grund für ein auf diese Weise entstehendes Beweisverwertungsverbot liegt darin, dass die Behörde sonst durch das Einschalten einer Privatperson, also z.B. von V-Leuten oder Informanten (siehe dazu Arbeitsblatt Nr. 21), die Vorschriften der StPO gezielt umgehen könnte. Dies ist etwa der Fall, wenn gezielt Mitgefangene in der Zelle des Beschuldigten eingesetzt werden, um diesen auszuhorchen. Dabei sind aber an den Begriff der Täuschung im Sinne des § 136a </w:t>
      </w:r>
      <w:r w:rsidR="003C333D">
        <w:rPr>
          <w:rFonts w:ascii="Times New Roman" w:hAnsi="Times New Roman"/>
          <w:spacing w:val="-2"/>
          <w:sz w:val="18"/>
          <w:szCs w:val="18"/>
        </w:rPr>
        <w:t xml:space="preserve">I 1 </w:t>
      </w:r>
      <w:r w:rsidRPr="00A43FF8">
        <w:rPr>
          <w:rFonts w:ascii="Times New Roman" w:hAnsi="Times New Roman"/>
          <w:spacing w:val="-2"/>
          <w:sz w:val="18"/>
          <w:szCs w:val="18"/>
        </w:rPr>
        <w:t xml:space="preserve">StPO erhöhte Anforderungen zu stellen; das bloße Mithören-Lassen eines Dritten an einem Zweithörer genügt nach </w:t>
      </w:r>
      <w:r w:rsidRPr="00A43FF8">
        <w:rPr>
          <w:rFonts w:ascii="Times New Roman" w:hAnsi="Times New Roman"/>
          <w:b/>
          <w:spacing w:val="-2"/>
          <w:sz w:val="18"/>
          <w:szCs w:val="18"/>
        </w:rPr>
        <w:t>BGHSt 42, 139</w:t>
      </w:r>
      <w:r w:rsidRPr="00A43FF8">
        <w:rPr>
          <w:rFonts w:ascii="Times New Roman" w:hAnsi="Times New Roman"/>
          <w:spacing w:val="-2"/>
          <w:sz w:val="18"/>
          <w:szCs w:val="18"/>
        </w:rPr>
        <w:t xml:space="preserve"> (</w:t>
      </w:r>
      <w:proofErr w:type="spellStart"/>
      <w:r w:rsidRPr="00A43FF8">
        <w:rPr>
          <w:rFonts w:ascii="Times New Roman" w:hAnsi="Times New Roman"/>
          <w:spacing w:val="-2"/>
          <w:sz w:val="18"/>
          <w:szCs w:val="18"/>
        </w:rPr>
        <w:t>Hörfalle</w:t>
      </w:r>
      <w:proofErr w:type="spellEnd"/>
      <w:r w:rsidRPr="00A43FF8">
        <w:rPr>
          <w:rFonts w:ascii="Times New Roman" w:hAnsi="Times New Roman"/>
          <w:spacing w:val="-2"/>
          <w:sz w:val="18"/>
          <w:szCs w:val="18"/>
        </w:rPr>
        <w:t>) dazu nicht (vgl. dazu Arbeitsblatt Nr. 31).</w:t>
      </w:r>
      <w:r w:rsidR="000D682F">
        <w:rPr>
          <w:rFonts w:ascii="Times New Roman" w:hAnsi="Times New Roman"/>
          <w:spacing w:val="-2"/>
          <w:sz w:val="18"/>
          <w:szCs w:val="18"/>
        </w:rPr>
        <w:t xml:space="preserve"> </w:t>
      </w:r>
      <w:r w:rsidR="000D682F" w:rsidRPr="000D682F">
        <w:rPr>
          <w:rFonts w:ascii="Times New Roman" w:hAnsi="Times New Roman"/>
          <w:spacing w:val="-2"/>
          <w:sz w:val="18"/>
          <w:szCs w:val="18"/>
        </w:rPr>
        <w:t>Überdies führt auch die alleinige Entgegennahme von belastenden Informationen durch die Ermittlungsbehörden, die ein Zeuge durch Täuschung des Beschul</w:t>
      </w:r>
      <w:r w:rsidR="000D682F">
        <w:rPr>
          <w:rFonts w:ascii="Times New Roman" w:hAnsi="Times New Roman"/>
          <w:spacing w:val="-2"/>
          <w:sz w:val="18"/>
          <w:szCs w:val="18"/>
        </w:rPr>
        <w:t>digten erlangt hat, nicht zu ei</w:t>
      </w:r>
      <w:r w:rsidR="000D682F" w:rsidRPr="000D682F">
        <w:rPr>
          <w:rFonts w:ascii="Times New Roman" w:hAnsi="Times New Roman"/>
          <w:spacing w:val="-2"/>
          <w:sz w:val="18"/>
          <w:szCs w:val="18"/>
        </w:rPr>
        <w:t>nem Beweisverwertungsverbot. Eine entsprechende Pflicht, dies zu</w:t>
      </w:r>
      <w:r w:rsidR="000D682F">
        <w:rPr>
          <w:rFonts w:ascii="Times New Roman" w:hAnsi="Times New Roman"/>
          <w:spacing w:val="-2"/>
          <w:sz w:val="18"/>
          <w:szCs w:val="18"/>
        </w:rPr>
        <w:t xml:space="preserve"> unterbinden, trifft die Ermitt</w:t>
      </w:r>
      <w:r w:rsidR="000D682F" w:rsidRPr="000D682F">
        <w:rPr>
          <w:rFonts w:ascii="Times New Roman" w:hAnsi="Times New Roman"/>
          <w:spacing w:val="-2"/>
          <w:sz w:val="18"/>
          <w:szCs w:val="18"/>
        </w:rPr>
        <w:t>lungsbehörden grundsätzlich nicht (BGH NJW 2017, 1828</w:t>
      </w:r>
      <w:r w:rsidR="00AF1B12">
        <w:rPr>
          <w:rFonts w:ascii="Times New Roman" w:hAnsi="Times New Roman"/>
          <w:spacing w:val="-2"/>
          <w:sz w:val="18"/>
          <w:szCs w:val="18"/>
        </w:rPr>
        <w:t xml:space="preserve">, </w:t>
      </w:r>
      <w:r w:rsidR="000D682F" w:rsidRPr="000D682F">
        <w:rPr>
          <w:rFonts w:ascii="Times New Roman" w:hAnsi="Times New Roman"/>
          <w:spacing w:val="-2"/>
          <w:sz w:val="18"/>
          <w:szCs w:val="18"/>
        </w:rPr>
        <w:t>1831).</w:t>
      </w:r>
    </w:p>
    <w:p w14:paraId="71BA0D70" w14:textId="221A5F93" w:rsidR="007F11C2" w:rsidRPr="00A43FF8" w:rsidRDefault="007F11C2" w:rsidP="007F11C2">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A43FF8">
        <w:rPr>
          <w:rFonts w:ascii="Times New Roman" w:hAnsi="Times New Roman"/>
          <w:spacing w:val="-2"/>
          <w:sz w:val="18"/>
          <w:szCs w:val="18"/>
          <w:u w:val="single"/>
        </w:rPr>
        <w:t>2.</w:t>
      </w:r>
      <w:r w:rsidRPr="00A43FF8">
        <w:rPr>
          <w:rFonts w:ascii="Times New Roman" w:hAnsi="Times New Roman"/>
          <w:spacing w:val="-2"/>
          <w:sz w:val="18"/>
          <w:szCs w:val="18"/>
          <w:u w:val="single"/>
        </w:rPr>
        <w:tab/>
        <w:t>Verstöße gegen die Menschenwürde:</w:t>
      </w:r>
      <w:r w:rsidRPr="00A43FF8">
        <w:rPr>
          <w:rFonts w:ascii="Times New Roman" w:hAnsi="Times New Roman"/>
          <w:spacing w:val="-2"/>
          <w:sz w:val="18"/>
          <w:szCs w:val="18"/>
        </w:rPr>
        <w:t xml:space="preserve"> Handelt die Privatperson aus eigenem Antrieb, ohne in irgendeiner Weise von staatlicher Seite beeinflusst worden zu sein, so kommen nach dem oben unter I. geschilderten Grundsatz Verwertungsverbote nur in absoluten Ausnahmefällen in Betracht. Dies ist z.B. der Fall bei einem Verhalten der Privatperson, </w:t>
      </w:r>
      <w:r w:rsidR="00AF1B12">
        <w:rPr>
          <w:rFonts w:ascii="Times New Roman" w:hAnsi="Times New Roman"/>
          <w:spacing w:val="-2"/>
          <w:sz w:val="18"/>
          <w:szCs w:val="18"/>
        </w:rPr>
        <w:t>das</w:t>
      </w:r>
      <w:r w:rsidR="00AF1B12" w:rsidRPr="00A43FF8">
        <w:rPr>
          <w:rFonts w:ascii="Times New Roman" w:hAnsi="Times New Roman"/>
          <w:spacing w:val="-2"/>
          <w:sz w:val="18"/>
          <w:szCs w:val="18"/>
        </w:rPr>
        <w:t xml:space="preserve"> </w:t>
      </w:r>
      <w:r w:rsidRPr="00A43FF8">
        <w:rPr>
          <w:rFonts w:ascii="Times New Roman" w:hAnsi="Times New Roman"/>
          <w:spacing w:val="-2"/>
          <w:sz w:val="18"/>
          <w:szCs w:val="18"/>
        </w:rPr>
        <w:t xml:space="preserve">gegen die Menschenwürde des Beschuldigten verstößt, so etwa bei </w:t>
      </w:r>
      <w:r w:rsidRPr="00A43FF8">
        <w:rPr>
          <w:rFonts w:ascii="Times New Roman" w:hAnsi="Times New Roman"/>
          <w:b/>
          <w:spacing w:val="-2"/>
          <w:sz w:val="18"/>
          <w:szCs w:val="18"/>
        </w:rPr>
        <w:t>Folter</w:t>
      </w:r>
      <w:r w:rsidRPr="00A43FF8">
        <w:rPr>
          <w:rFonts w:ascii="Times New Roman" w:hAnsi="Times New Roman"/>
          <w:spacing w:val="-2"/>
          <w:sz w:val="18"/>
          <w:szCs w:val="18"/>
        </w:rPr>
        <w:t xml:space="preserve"> durch die Privatperson oder einem sonstigen grob rechtsstaatswidrigen Vorgehen der Privatperson. Interessant ist, dass das </w:t>
      </w:r>
      <w:r w:rsidRPr="00BD0DA0">
        <w:rPr>
          <w:rFonts w:ascii="Times New Roman" w:hAnsi="Times New Roman"/>
          <w:b/>
          <w:bCs/>
          <w:spacing w:val="-2"/>
          <w:sz w:val="18"/>
          <w:szCs w:val="18"/>
        </w:rPr>
        <w:t>OLG Hamburg</w:t>
      </w:r>
      <w:r w:rsidRPr="00A43FF8">
        <w:rPr>
          <w:rFonts w:ascii="Times New Roman" w:hAnsi="Times New Roman"/>
          <w:spacing w:val="-2"/>
          <w:sz w:val="18"/>
          <w:szCs w:val="18"/>
        </w:rPr>
        <w:t xml:space="preserve"> (</w:t>
      </w:r>
      <w:r w:rsidRPr="00A43FF8">
        <w:rPr>
          <w:rFonts w:ascii="Times New Roman" w:hAnsi="Times New Roman"/>
          <w:b/>
          <w:spacing w:val="-2"/>
          <w:sz w:val="18"/>
          <w:szCs w:val="18"/>
        </w:rPr>
        <w:t>NJW 2005, 2327</w:t>
      </w:r>
      <w:r w:rsidRPr="00A43FF8">
        <w:rPr>
          <w:rFonts w:ascii="Times New Roman" w:hAnsi="Times New Roman"/>
          <w:spacing w:val="-2"/>
          <w:sz w:val="18"/>
          <w:szCs w:val="18"/>
        </w:rPr>
        <w:t>) § 136a StPO analog auch für die Folter durch US-Behörden anwandte.</w:t>
      </w:r>
    </w:p>
    <w:p w14:paraId="09A27E5F" w14:textId="3FD04548" w:rsidR="007F11C2" w:rsidRPr="00A43FF8" w:rsidRDefault="007F11C2" w:rsidP="007F11C2">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A43FF8">
        <w:rPr>
          <w:rFonts w:ascii="Times New Roman" w:hAnsi="Times New Roman"/>
          <w:spacing w:val="-2"/>
          <w:sz w:val="18"/>
          <w:szCs w:val="18"/>
          <w:u w:val="single"/>
        </w:rPr>
        <w:t>3.</w:t>
      </w:r>
      <w:r w:rsidRPr="00A43FF8">
        <w:rPr>
          <w:rFonts w:ascii="Times New Roman" w:hAnsi="Times New Roman"/>
          <w:spacing w:val="-2"/>
          <w:sz w:val="18"/>
          <w:szCs w:val="18"/>
          <w:u w:val="single"/>
        </w:rPr>
        <w:tab/>
        <w:t>Schutz der Intimsphäre bei Tonaufnahmen und Tagebuchaufzeichnungen:</w:t>
      </w:r>
      <w:r w:rsidRPr="00A43FF8">
        <w:rPr>
          <w:rFonts w:ascii="Times New Roman" w:hAnsi="Times New Roman"/>
          <w:spacing w:val="-2"/>
          <w:sz w:val="18"/>
          <w:szCs w:val="18"/>
        </w:rPr>
        <w:t xml:space="preserve"> Ähnlich liegt der Fall hinsichtlich des Schutzes der Intimsphäre des Beschuldigten. Hier darf es keinen Unterschied machen, ob der Eingriff in die Intimsphäre des Betroffenen durch staatliche Organe oder durch Privatpersonen geschah. Dies gilt insb</w:t>
      </w:r>
      <w:r w:rsidR="00AF1B12">
        <w:rPr>
          <w:rFonts w:ascii="Times New Roman" w:hAnsi="Times New Roman"/>
          <w:spacing w:val="-2"/>
          <w:sz w:val="18"/>
          <w:szCs w:val="18"/>
        </w:rPr>
        <w:t>.</w:t>
      </w:r>
      <w:r w:rsidRPr="00A43FF8">
        <w:rPr>
          <w:rFonts w:ascii="Times New Roman" w:hAnsi="Times New Roman"/>
          <w:spacing w:val="-2"/>
          <w:sz w:val="18"/>
          <w:szCs w:val="18"/>
        </w:rPr>
        <w:t xml:space="preserve"> deshalb, weil durch die Verwertung der Aufnahme oder Aufzeichnung im Prozess ohnehin (erneut) in den Intimbereich eingegriffen würde. Die Beurteilung der Rechtmäßigkeit richtet sich daher nach der </w:t>
      </w:r>
      <w:r w:rsidRPr="00A43FF8">
        <w:rPr>
          <w:rFonts w:ascii="Times New Roman" w:hAnsi="Times New Roman"/>
          <w:b/>
          <w:spacing w:val="-2"/>
          <w:sz w:val="18"/>
          <w:szCs w:val="18"/>
        </w:rPr>
        <w:t>Drei-Stufen-Theorie</w:t>
      </w:r>
      <w:r w:rsidRPr="00A43FF8">
        <w:rPr>
          <w:rFonts w:ascii="Times New Roman" w:hAnsi="Times New Roman"/>
          <w:spacing w:val="-2"/>
          <w:sz w:val="18"/>
          <w:szCs w:val="18"/>
        </w:rPr>
        <w:t xml:space="preserve"> des </w:t>
      </w:r>
      <w:r w:rsidR="003C333D" w:rsidRPr="00B32B7B">
        <w:rPr>
          <w:rFonts w:ascii="Times New Roman" w:hAnsi="Times New Roman"/>
          <w:b/>
          <w:bCs/>
          <w:spacing w:val="-2"/>
          <w:sz w:val="18"/>
          <w:szCs w:val="18"/>
        </w:rPr>
        <w:t>BVerfG</w:t>
      </w:r>
      <w:r w:rsidR="003C333D" w:rsidRPr="00A43FF8">
        <w:rPr>
          <w:rFonts w:ascii="Times New Roman" w:hAnsi="Times New Roman"/>
          <w:spacing w:val="-2"/>
          <w:sz w:val="18"/>
          <w:szCs w:val="18"/>
        </w:rPr>
        <w:t xml:space="preserve"> </w:t>
      </w:r>
      <w:r w:rsidRPr="00A43FF8">
        <w:rPr>
          <w:rFonts w:ascii="Times New Roman" w:hAnsi="Times New Roman"/>
          <w:spacing w:val="-2"/>
          <w:sz w:val="18"/>
          <w:szCs w:val="18"/>
        </w:rPr>
        <w:t xml:space="preserve">(siehe dazu Arbeitsblatt Nr. 29). Hier kommt es </w:t>
      </w:r>
      <w:r w:rsidR="00AF1B12">
        <w:rPr>
          <w:rFonts w:ascii="Times New Roman" w:hAnsi="Times New Roman"/>
          <w:spacing w:val="-2"/>
          <w:sz w:val="18"/>
          <w:szCs w:val="18"/>
        </w:rPr>
        <w:t>dann</w:t>
      </w:r>
      <w:r w:rsidR="00AF1B12" w:rsidRPr="00A43FF8">
        <w:rPr>
          <w:rFonts w:ascii="Times New Roman" w:hAnsi="Times New Roman"/>
          <w:spacing w:val="-2"/>
          <w:sz w:val="18"/>
          <w:szCs w:val="18"/>
        </w:rPr>
        <w:t xml:space="preserve"> </w:t>
      </w:r>
      <w:r w:rsidRPr="00A43FF8">
        <w:rPr>
          <w:rFonts w:ascii="Times New Roman" w:hAnsi="Times New Roman"/>
          <w:spacing w:val="-2"/>
          <w:sz w:val="18"/>
          <w:szCs w:val="18"/>
        </w:rPr>
        <w:t xml:space="preserve">entscheidend darauf an, ob man Tagebuchaufzeichnungen der 2. oder der 3. Stufe zuordnet, denn in ersterem Fall wäre eine Abwägung vorzunehmen, in letzterem Fall eine Verwertung </w:t>
      </w:r>
      <w:proofErr w:type="spellStart"/>
      <w:r w:rsidRPr="00A43FF8">
        <w:rPr>
          <w:rFonts w:ascii="Times New Roman" w:hAnsi="Times New Roman"/>
          <w:spacing w:val="-2"/>
          <w:sz w:val="18"/>
          <w:szCs w:val="18"/>
        </w:rPr>
        <w:t>grds</w:t>
      </w:r>
      <w:proofErr w:type="spellEnd"/>
      <w:r w:rsidRPr="00A43FF8">
        <w:rPr>
          <w:rFonts w:ascii="Times New Roman" w:hAnsi="Times New Roman"/>
          <w:spacing w:val="-2"/>
          <w:sz w:val="18"/>
          <w:szCs w:val="18"/>
        </w:rPr>
        <w:t>. unzulässig. Diese Einordnung ist anhand des konkreten Inhalts vorzunehmen. Bei Tonaufnahmen sind Ausnahmen denkbar bei: a) standardisierten Gespräche</w:t>
      </w:r>
      <w:r w:rsidR="00490816">
        <w:rPr>
          <w:rFonts w:ascii="Times New Roman" w:hAnsi="Times New Roman"/>
          <w:spacing w:val="-2"/>
          <w:sz w:val="18"/>
          <w:szCs w:val="18"/>
        </w:rPr>
        <w:t>n</w:t>
      </w:r>
      <w:r w:rsidRPr="00A43FF8">
        <w:rPr>
          <w:rFonts w:ascii="Times New Roman" w:hAnsi="Times New Roman"/>
          <w:spacing w:val="-2"/>
          <w:sz w:val="18"/>
          <w:szCs w:val="18"/>
        </w:rPr>
        <w:t xml:space="preserve"> im Geschäftsverkehr, b</w:t>
      </w:r>
      <w:proofErr w:type="gramStart"/>
      <w:r w:rsidRPr="00A43FF8">
        <w:rPr>
          <w:rFonts w:ascii="Times New Roman" w:hAnsi="Times New Roman"/>
          <w:spacing w:val="-2"/>
          <w:sz w:val="18"/>
          <w:szCs w:val="18"/>
        </w:rPr>
        <w:t>)</w:t>
      </w:r>
      <w:proofErr w:type="gramEnd"/>
      <w:r w:rsidRPr="00A43FF8">
        <w:rPr>
          <w:rFonts w:ascii="Times New Roman" w:hAnsi="Times New Roman"/>
          <w:spacing w:val="-2"/>
          <w:sz w:val="18"/>
          <w:szCs w:val="18"/>
        </w:rPr>
        <w:t xml:space="preserve"> wenn der Angeklagte im Prozess der Verwertung zustimmt</w:t>
      </w:r>
      <w:r w:rsidR="00912C3F">
        <w:rPr>
          <w:rFonts w:ascii="Times New Roman" w:hAnsi="Times New Roman"/>
          <w:spacing w:val="-2"/>
          <w:sz w:val="18"/>
          <w:szCs w:val="18"/>
        </w:rPr>
        <w:t xml:space="preserve"> und</w:t>
      </w:r>
      <w:r w:rsidRPr="00A43FF8">
        <w:rPr>
          <w:rFonts w:ascii="Times New Roman" w:hAnsi="Times New Roman"/>
          <w:spacing w:val="-2"/>
          <w:sz w:val="18"/>
          <w:szCs w:val="18"/>
        </w:rPr>
        <w:t xml:space="preserve"> c) bei Schwerstkriminalität.</w:t>
      </w:r>
    </w:p>
    <w:p w14:paraId="39D6BF94" w14:textId="77777777" w:rsidR="007F11C2" w:rsidRPr="006A77BF" w:rsidRDefault="007F11C2" w:rsidP="007F11C2">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b/>
          <w:spacing w:val="-2"/>
          <w:sz w:val="20"/>
        </w:rPr>
      </w:pPr>
    </w:p>
    <w:p w14:paraId="7E806C06" w14:textId="76913855" w:rsidR="007F11C2" w:rsidRPr="00BD0DA0" w:rsidRDefault="007F11C2" w:rsidP="000D682F">
      <w:pPr>
        <w:widowControl/>
        <w:tabs>
          <w:tab w:val="left" w:pos="-720"/>
          <w:tab w:val="left" w:pos="288"/>
          <w:tab w:val="left" w:pos="567"/>
          <w:tab w:val="left" w:pos="864"/>
          <w:tab w:val="left" w:pos="1116"/>
          <w:tab w:val="left" w:pos="1404"/>
          <w:tab w:val="left" w:pos="1692"/>
          <w:tab w:val="left" w:pos="1980"/>
          <w:tab w:val="left" w:pos="2268"/>
          <w:tab w:val="left" w:pos="2880"/>
        </w:tabs>
        <w:spacing w:line="204" w:lineRule="auto"/>
        <w:jc w:val="both"/>
        <w:rPr>
          <w:rFonts w:ascii="Times New Roman" w:hAnsi="Times New Roman"/>
          <w:spacing w:val="-2"/>
          <w:sz w:val="16"/>
          <w:szCs w:val="16"/>
        </w:rPr>
      </w:pPr>
      <w:r w:rsidRPr="00BD0DA0">
        <w:rPr>
          <w:rFonts w:ascii="Times New Roman" w:hAnsi="Times New Roman"/>
          <w:b/>
          <w:spacing w:val="-2"/>
          <w:sz w:val="16"/>
          <w:szCs w:val="16"/>
        </w:rPr>
        <w:t xml:space="preserve">Literatur/Lehrbücher: </w:t>
      </w:r>
      <w:r w:rsidRPr="00BD0DA0">
        <w:rPr>
          <w:rFonts w:ascii="Times New Roman" w:hAnsi="Times New Roman"/>
          <w:b/>
          <w:spacing w:val="-2"/>
          <w:sz w:val="16"/>
          <w:szCs w:val="16"/>
        </w:rPr>
        <w:tab/>
      </w:r>
      <w:r w:rsidR="006211EA" w:rsidRPr="00BD0DA0">
        <w:rPr>
          <w:rFonts w:ascii="Times New Roman" w:hAnsi="Times New Roman"/>
          <w:i/>
          <w:spacing w:val="-2"/>
          <w:sz w:val="16"/>
          <w:szCs w:val="16"/>
        </w:rPr>
        <w:t>Heinrich/Reinbacher</w:t>
      </w:r>
      <w:r w:rsidR="006211EA" w:rsidRPr="00BD0DA0">
        <w:rPr>
          <w:rFonts w:ascii="Times New Roman" w:hAnsi="Times New Roman"/>
          <w:spacing w:val="-2"/>
          <w:sz w:val="16"/>
          <w:szCs w:val="16"/>
        </w:rPr>
        <w:t xml:space="preserve">, Examinatorium Strafprozessrecht, </w:t>
      </w:r>
      <w:r w:rsidR="005505CA" w:rsidRPr="00BD0DA0">
        <w:rPr>
          <w:rFonts w:ascii="Times New Roman" w:hAnsi="Times New Roman"/>
          <w:spacing w:val="-2"/>
          <w:sz w:val="16"/>
          <w:szCs w:val="16"/>
        </w:rPr>
        <w:t>4</w:t>
      </w:r>
      <w:r w:rsidR="0090539C" w:rsidRPr="00BD0DA0">
        <w:rPr>
          <w:rFonts w:ascii="Times New Roman" w:hAnsi="Times New Roman"/>
          <w:spacing w:val="-2"/>
          <w:sz w:val="16"/>
          <w:szCs w:val="16"/>
        </w:rPr>
        <w:t>. Auflage 20</w:t>
      </w:r>
      <w:r w:rsidR="000D682F" w:rsidRPr="00BD0DA0">
        <w:rPr>
          <w:rFonts w:ascii="Times New Roman" w:hAnsi="Times New Roman"/>
          <w:spacing w:val="-2"/>
          <w:sz w:val="16"/>
          <w:szCs w:val="16"/>
        </w:rPr>
        <w:t>2</w:t>
      </w:r>
      <w:r w:rsidR="005505CA" w:rsidRPr="00BD0DA0">
        <w:rPr>
          <w:rFonts w:ascii="Times New Roman" w:hAnsi="Times New Roman"/>
          <w:spacing w:val="-2"/>
          <w:sz w:val="16"/>
          <w:szCs w:val="16"/>
        </w:rPr>
        <w:t>3</w:t>
      </w:r>
      <w:r w:rsidR="0090539C" w:rsidRPr="00BD0DA0">
        <w:rPr>
          <w:rFonts w:ascii="Times New Roman" w:hAnsi="Times New Roman"/>
          <w:spacing w:val="-2"/>
          <w:sz w:val="16"/>
          <w:szCs w:val="16"/>
        </w:rPr>
        <w:t xml:space="preserve">, </w:t>
      </w:r>
      <w:r w:rsidR="006211EA" w:rsidRPr="00BD0DA0">
        <w:rPr>
          <w:rFonts w:ascii="Times New Roman" w:hAnsi="Times New Roman"/>
          <w:spacing w:val="-2"/>
          <w:sz w:val="16"/>
          <w:szCs w:val="16"/>
        </w:rPr>
        <w:t>Problem</w:t>
      </w:r>
      <w:r w:rsidR="00912C3F" w:rsidRPr="00BD0DA0">
        <w:rPr>
          <w:rFonts w:ascii="Times New Roman" w:hAnsi="Times New Roman"/>
          <w:spacing w:val="-2"/>
          <w:sz w:val="16"/>
          <w:szCs w:val="16"/>
        </w:rPr>
        <w:t> </w:t>
      </w:r>
      <w:r w:rsidR="006211EA" w:rsidRPr="00BD0DA0">
        <w:rPr>
          <w:rFonts w:ascii="Times New Roman" w:hAnsi="Times New Roman"/>
          <w:spacing w:val="-2"/>
          <w:sz w:val="16"/>
          <w:szCs w:val="16"/>
        </w:rPr>
        <w:t>33.</w:t>
      </w:r>
    </w:p>
    <w:p w14:paraId="1FBD2B87" w14:textId="77777777" w:rsidR="007F11C2" w:rsidRPr="00BD0DA0" w:rsidRDefault="007F11C2" w:rsidP="000D682F">
      <w:pPr>
        <w:widowControl/>
        <w:tabs>
          <w:tab w:val="left" w:pos="-720"/>
          <w:tab w:val="left" w:pos="288"/>
          <w:tab w:val="left" w:pos="567"/>
          <w:tab w:val="left" w:pos="864"/>
          <w:tab w:val="left" w:pos="1116"/>
          <w:tab w:val="left" w:pos="1404"/>
          <w:tab w:val="left" w:pos="1692"/>
          <w:tab w:val="left" w:pos="1980"/>
          <w:tab w:val="left" w:pos="2268"/>
          <w:tab w:val="left" w:pos="2880"/>
        </w:tabs>
        <w:spacing w:line="204" w:lineRule="auto"/>
        <w:ind w:left="1701" w:hanging="1701"/>
        <w:jc w:val="both"/>
        <w:rPr>
          <w:rFonts w:ascii="Times New Roman" w:hAnsi="Times New Roman"/>
          <w:spacing w:val="-2"/>
          <w:sz w:val="16"/>
          <w:szCs w:val="16"/>
        </w:rPr>
      </w:pPr>
      <w:r w:rsidRPr="00BD0DA0">
        <w:rPr>
          <w:rFonts w:ascii="Times New Roman" w:hAnsi="Times New Roman"/>
          <w:b/>
          <w:spacing w:val="-2"/>
          <w:sz w:val="16"/>
          <w:szCs w:val="16"/>
        </w:rPr>
        <w:t>Literatur/Aufsätze:</w:t>
      </w:r>
      <w:r w:rsidRPr="00BD0DA0">
        <w:rPr>
          <w:rFonts w:ascii="Times New Roman" w:hAnsi="Times New Roman"/>
          <w:b/>
          <w:spacing w:val="-2"/>
          <w:sz w:val="16"/>
          <w:szCs w:val="16"/>
        </w:rPr>
        <w:tab/>
      </w:r>
      <w:r w:rsidRPr="00BD0DA0">
        <w:rPr>
          <w:rFonts w:ascii="Times New Roman" w:hAnsi="Times New Roman"/>
          <w:b/>
          <w:spacing w:val="-2"/>
          <w:sz w:val="16"/>
          <w:szCs w:val="16"/>
        </w:rPr>
        <w:tab/>
      </w:r>
      <w:r w:rsidRPr="00BD0DA0">
        <w:rPr>
          <w:rFonts w:ascii="Times New Roman" w:hAnsi="Times New Roman"/>
          <w:i/>
          <w:spacing w:val="-2"/>
          <w:sz w:val="16"/>
          <w:szCs w:val="16"/>
        </w:rPr>
        <w:t>Fahl</w:t>
      </w:r>
      <w:r w:rsidRPr="00BD0DA0">
        <w:rPr>
          <w:rFonts w:ascii="Times New Roman" w:hAnsi="Times New Roman"/>
          <w:spacing w:val="-2"/>
          <w:sz w:val="16"/>
          <w:szCs w:val="16"/>
        </w:rPr>
        <w:t xml:space="preserve">, Beweisverwertungsverbote, JA 1998, 754; </w:t>
      </w:r>
      <w:r w:rsidRPr="00BD0DA0">
        <w:rPr>
          <w:rFonts w:ascii="Times New Roman" w:hAnsi="Times New Roman"/>
          <w:i/>
          <w:spacing w:val="-2"/>
          <w:sz w:val="16"/>
          <w:szCs w:val="16"/>
        </w:rPr>
        <w:t>Jahn</w:t>
      </w:r>
      <w:r w:rsidRPr="00BD0DA0">
        <w:rPr>
          <w:rFonts w:ascii="Times New Roman" w:hAnsi="Times New Roman"/>
          <w:spacing w:val="-2"/>
          <w:sz w:val="16"/>
          <w:szCs w:val="16"/>
        </w:rPr>
        <w:t>, Strafprozessrecht als geronnenes Verfassungsrecht – Hauptprobleme</w:t>
      </w:r>
      <w:r w:rsidR="00C54BA9" w:rsidRPr="00BD0DA0">
        <w:rPr>
          <w:rFonts w:ascii="Times New Roman" w:hAnsi="Times New Roman"/>
          <w:spacing w:val="-2"/>
          <w:sz w:val="16"/>
          <w:szCs w:val="16"/>
        </w:rPr>
        <w:t xml:space="preserve"> </w:t>
      </w:r>
      <w:r w:rsidRPr="00BD0DA0">
        <w:rPr>
          <w:rFonts w:ascii="Times New Roman" w:hAnsi="Times New Roman"/>
          <w:spacing w:val="-2"/>
          <w:sz w:val="16"/>
          <w:szCs w:val="16"/>
        </w:rPr>
        <w:t xml:space="preserve">und Streitfragen des § 136a StPO, </w:t>
      </w:r>
      <w:proofErr w:type="spellStart"/>
      <w:r w:rsidRPr="00BD0DA0">
        <w:rPr>
          <w:rFonts w:ascii="Times New Roman" w:hAnsi="Times New Roman"/>
          <w:spacing w:val="-2"/>
          <w:sz w:val="16"/>
          <w:szCs w:val="16"/>
        </w:rPr>
        <w:t>JuS</w:t>
      </w:r>
      <w:proofErr w:type="spellEnd"/>
      <w:r w:rsidRPr="00BD0DA0">
        <w:rPr>
          <w:rFonts w:ascii="Times New Roman" w:hAnsi="Times New Roman"/>
          <w:spacing w:val="-2"/>
          <w:sz w:val="16"/>
          <w:szCs w:val="16"/>
        </w:rPr>
        <w:t xml:space="preserve"> 2005, 1057; </w:t>
      </w:r>
      <w:r w:rsidR="000D682F" w:rsidRPr="00BD0DA0">
        <w:rPr>
          <w:rFonts w:ascii="Times New Roman" w:hAnsi="Times New Roman"/>
          <w:i/>
          <w:spacing w:val="-2"/>
          <w:sz w:val="16"/>
          <w:szCs w:val="16"/>
        </w:rPr>
        <w:t>Metz</w:t>
      </w:r>
      <w:r w:rsidR="000D682F" w:rsidRPr="00BD0DA0">
        <w:rPr>
          <w:rFonts w:ascii="Times New Roman" w:hAnsi="Times New Roman"/>
          <w:spacing w:val="-2"/>
          <w:sz w:val="16"/>
          <w:szCs w:val="16"/>
        </w:rPr>
        <w:t xml:space="preserve">, Verwertbarkeit von tätereigenen Tatvideos, NStZ 2020, 9; </w:t>
      </w:r>
      <w:r w:rsidR="005B13B7" w:rsidRPr="00BD0DA0">
        <w:rPr>
          <w:rFonts w:ascii="Times New Roman" w:hAnsi="Times New Roman"/>
          <w:i/>
          <w:spacing w:val="-2"/>
          <w:sz w:val="16"/>
          <w:szCs w:val="16"/>
        </w:rPr>
        <w:t>Niehaus</w:t>
      </w:r>
      <w:r w:rsidR="005B13B7" w:rsidRPr="00BD0DA0">
        <w:rPr>
          <w:rFonts w:ascii="Times New Roman" w:hAnsi="Times New Roman"/>
          <w:spacing w:val="-2"/>
          <w:sz w:val="16"/>
          <w:szCs w:val="16"/>
        </w:rPr>
        <w:t xml:space="preserve">, Verwertbarkeit von Dashcam-Aufzeichnungen im Straf- und Ordnungswidrigkeitenverfahren, NZV 2016, 551; </w:t>
      </w:r>
      <w:r w:rsidRPr="00BD0DA0">
        <w:rPr>
          <w:rFonts w:ascii="Times New Roman" w:hAnsi="Times New Roman"/>
          <w:i/>
          <w:spacing w:val="-2"/>
          <w:sz w:val="16"/>
          <w:szCs w:val="16"/>
        </w:rPr>
        <w:t>Sieber</w:t>
      </w:r>
      <w:r w:rsidRPr="00BD0DA0">
        <w:rPr>
          <w:rFonts w:ascii="Times New Roman" w:hAnsi="Times New Roman"/>
          <w:spacing w:val="-2"/>
          <w:sz w:val="16"/>
          <w:szCs w:val="16"/>
        </w:rPr>
        <w:t>, Ermittlungen in Sachen Liechtenstein – Fragen und erste Antworten, NJW 2008, 881</w:t>
      </w:r>
      <w:r w:rsidR="00E57BEE" w:rsidRPr="00BD0DA0">
        <w:rPr>
          <w:rFonts w:ascii="Times New Roman" w:hAnsi="Times New Roman"/>
          <w:spacing w:val="-2"/>
          <w:sz w:val="16"/>
          <w:szCs w:val="16"/>
        </w:rPr>
        <w:t xml:space="preserve">; </w:t>
      </w:r>
      <w:r w:rsidR="00E57BEE" w:rsidRPr="00BD0DA0">
        <w:rPr>
          <w:rFonts w:ascii="Times New Roman" w:hAnsi="Times New Roman"/>
          <w:i/>
          <w:spacing w:val="-2"/>
          <w:sz w:val="16"/>
          <w:szCs w:val="16"/>
        </w:rPr>
        <w:t>Trüg/</w:t>
      </w:r>
      <w:proofErr w:type="spellStart"/>
      <w:r w:rsidR="00E57BEE" w:rsidRPr="00BD0DA0">
        <w:rPr>
          <w:rFonts w:ascii="Times New Roman" w:hAnsi="Times New Roman"/>
          <w:i/>
          <w:spacing w:val="-2"/>
          <w:sz w:val="16"/>
          <w:szCs w:val="16"/>
        </w:rPr>
        <w:t>Habetha</w:t>
      </w:r>
      <w:proofErr w:type="spellEnd"/>
      <w:r w:rsidR="00E57BEE" w:rsidRPr="00BD0DA0">
        <w:rPr>
          <w:rFonts w:ascii="Times New Roman" w:hAnsi="Times New Roman"/>
          <w:spacing w:val="-2"/>
          <w:sz w:val="16"/>
          <w:szCs w:val="16"/>
        </w:rPr>
        <w:t>, Bew</w:t>
      </w:r>
      <w:r w:rsidR="000F38CC" w:rsidRPr="00BD0DA0">
        <w:rPr>
          <w:rFonts w:ascii="Times New Roman" w:hAnsi="Times New Roman"/>
          <w:spacing w:val="-2"/>
          <w:sz w:val="16"/>
          <w:szCs w:val="16"/>
        </w:rPr>
        <w:t>eis</w:t>
      </w:r>
      <w:r w:rsidR="00E57BEE" w:rsidRPr="00BD0DA0">
        <w:rPr>
          <w:rFonts w:ascii="Times New Roman" w:hAnsi="Times New Roman"/>
          <w:spacing w:val="-2"/>
          <w:sz w:val="16"/>
          <w:szCs w:val="16"/>
        </w:rPr>
        <w:t>verwertung trotz rechtswidriger Beweisgewinnung – insbesondere mit Blick auf die „Liechtensteiner Steueraffäre“, NStZ 2008, 481.</w:t>
      </w:r>
    </w:p>
    <w:p w14:paraId="373B8B92" w14:textId="7BDFC23B" w:rsidR="007F11C2" w:rsidRPr="00BD0DA0" w:rsidRDefault="007F11C2" w:rsidP="000D682F">
      <w:pPr>
        <w:widowControl/>
        <w:tabs>
          <w:tab w:val="left" w:pos="-720"/>
          <w:tab w:val="left" w:pos="288"/>
          <w:tab w:val="left" w:pos="567"/>
          <w:tab w:val="left" w:pos="864"/>
          <w:tab w:val="left" w:pos="1116"/>
          <w:tab w:val="left" w:pos="1404"/>
          <w:tab w:val="left" w:pos="1692"/>
          <w:tab w:val="left" w:pos="1980"/>
          <w:tab w:val="left" w:pos="2268"/>
          <w:tab w:val="left" w:pos="2880"/>
        </w:tabs>
        <w:spacing w:line="204" w:lineRule="auto"/>
        <w:ind w:left="1701" w:hanging="1701"/>
        <w:jc w:val="both"/>
        <w:rPr>
          <w:rFonts w:ascii="Times New Roman" w:hAnsi="Times New Roman"/>
          <w:sz w:val="16"/>
          <w:szCs w:val="16"/>
        </w:rPr>
      </w:pPr>
      <w:r w:rsidRPr="00BD0DA0">
        <w:rPr>
          <w:rFonts w:ascii="Times New Roman" w:hAnsi="Times New Roman"/>
          <w:b/>
          <w:spacing w:val="-2"/>
          <w:sz w:val="16"/>
          <w:szCs w:val="16"/>
        </w:rPr>
        <w:t xml:space="preserve">Rechtsprechung: </w:t>
      </w:r>
      <w:r w:rsidRPr="00BD0DA0">
        <w:rPr>
          <w:rFonts w:ascii="Times New Roman" w:hAnsi="Times New Roman"/>
          <w:b/>
          <w:spacing w:val="-2"/>
          <w:sz w:val="16"/>
          <w:szCs w:val="16"/>
        </w:rPr>
        <w:tab/>
      </w:r>
      <w:r w:rsidRPr="00BD0DA0">
        <w:rPr>
          <w:rFonts w:ascii="Times New Roman" w:hAnsi="Times New Roman"/>
          <w:b/>
          <w:spacing w:val="-2"/>
          <w:sz w:val="16"/>
          <w:szCs w:val="16"/>
        </w:rPr>
        <w:tab/>
      </w:r>
      <w:r w:rsidRPr="00BD0DA0">
        <w:rPr>
          <w:rFonts w:ascii="Times New Roman" w:hAnsi="Times New Roman"/>
          <w:b/>
          <w:spacing w:val="-2"/>
          <w:sz w:val="16"/>
          <w:szCs w:val="16"/>
        </w:rPr>
        <w:tab/>
      </w:r>
      <w:r w:rsidR="0062399A" w:rsidRPr="00BD0DA0">
        <w:rPr>
          <w:rFonts w:ascii="Times New Roman" w:hAnsi="Times New Roman"/>
          <w:b/>
          <w:spacing w:val="-2"/>
          <w:sz w:val="16"/>
          <w:szCs w:val="16"/>
        </w:rPr>
        <w:t xml:space="preserve">BVerfG NStZ 2011, 103 </w:t>
      </w:r>
      <w:r w:rsidR="0062399A" w:rsidRPr="00BD0DA0">
        <w:rPr>
          <w:rFonts w:ascii="Times New Roman" w:hAnsi="Times New Roman"/>
          <w:spacing w:val="-2"/>
          <w:sz w:val="16"/>
          <w:szCs w:val="16"/>
        </w:rPr>
        <w:t xml:space="preserve">– Ankauf von Steuerdaten (kein absolutes Verwertungsverbot); </w:t>
      </w:r>
      <w:r w:rsidRPr="00BD0DA0">
        <w:rPr>
          <w:rFonts w:ascii="Times New Roman" w:hAnsi="Times New Roman"/>
          <w:b/>
          <w:spacing w:val="-2"/>
          <w:sz w:val="16"/>
          <w:szCs w:val="16"/>
        </w:rPr>
        <w:t>BGHSt 34, 362</w:t>
      </w:r>
      <w:r w:rsidRPr="00BD0DA0">
        <w:rPr>
          <w:rFonts w:ascii="Times New Roman" w:hAnsi="Times New Roman"/>
          <w:spacing w:val="-2"/>
          <w:sz w:val="16"/>
          <w:szCs w:val="16"/>
        </w:rPr>
        <w:t xml:space="preserve"> – </w:t>
      </w:r>
      <w:r w:rsidR="00F93255" w:rsidRPr="00BD0DA0">
        <w:rPr>
          <w:rFonts w:ascii="Times New Roman" w:hAnsi="Times New Roman"/>
          <w:spacing w:val="-2"/>
          <w:sz w:val="16"/>
          <w:szCs w:val="16"/>
        </w:rPr>
        <w:t>Haftzelle (</w:t>
      </w:r>
      <w:r w:rsidR="00F93255" w:rsidRPr="00BD0DA0">
        <w:rPr>
          <w:rFonts w:ascii="Times New Roman" w:hAnsi="Times New Roman"/>
          <w:color w:val="000000"/>
          <w:spacing w:val="-2"/>
          <w:sz w:val="16"/>
          <w:szCs w:val="16"/>
        </w:rPr>
        <w:t xml:space="preserve">unzulässige Täuschung bei in die Zelle verlegtem Mitgefangenem zur </w:t>
      </w:r>
      <w:proofErr w:type="spellStart"/>
      <w:r w:rsidR="00F93255" w:rsidRPr="00BD0DA0">
        <w:rPr>
          <w:rFonts w:ascii="Times New Roman" w:hAnsi="Times New Roman"/>
          <w:color w:val="000000"/>
          <w:spacing w:val="-2"/>
          <w:sz w:val="16"/>
          <w:szCs w:val="16"/>
        </w:rPr>
        <w:t>Ausfragung</w:t>
      </w:r>
      <w:proofErr w:type="spellEnd"/>
      <w:r w:rsidR="00F93255" w:rsidRPr="00BD0DA0">
        <w:rPr>
          <w:rFonts w:ascii="Times New Roman" w:hAnsi="Times New Roman"/>
          <w:color w:val="000000"/>
          <w:spacing w:val="-2"/>
          <w:sz w:val="16"/>
          <w:szCs w:val="16"/>
        </w:rPr>
        <w:t xml:space="preserve"> des Beschuldigten)</w:t>
      </w:r>
      <w:r w:rsidRPr="00BD0DA0">
        <w:rPr>
          <w:rFonts w:ascii="Times New Roman" w:hAnsi="Times New Roman"/>
          <w:b/>
          <w:spacing w:val="-2"/>
          <w:sz w:val="16"/>
          <w:szCs w:val="16"/>
        </w:rPr>
        <w:t xml:space="preserve"> </w:t>
      </w:r>
      <w:r w:rsidRPr="00BD0DA0">
        <w:rPr>
          <w:rFonts w:ascii="Times New Roman" w:hAnsi="Times New Roman"/>
          <w:b/>
          <w:color w:val="000000"/>
          <w:sz w:val="16"/>
          <w:szCs w:val="16"/>
        </w:rPr>
        <w:t xml:space="preserve">BGHSt 42, 139 </w:t>
      </w:r>
      <w:r w:rsidRPr="00BD0DA0">
        <w:rPr>
          <w:rFonts w:ascii="Times New Roman" w:hAnsi="Times New Roman"/>
          <w:color w:val="000000"/>
          <w:sz w:val="16"/>
          <w:szCs w:val="16"/>
        </w:rPr>
        <w:t xml:space="preserve">– </w:t>
      </w:r>
      <w:proofErr w:type="spellStart"/>
      <w:r w:rsidR="00F93255" w:rsidRPr="00BD0DA0">
        <w:rPr>
          <w:rFonts w:ascii="Times New Roman" w:hAnsi="Times New Roman"/>
          <w:bCs/>
          <w:color w:val="000000"/>
          <w:spacing w:val="-2"/>
          <w:sz w:val="16"/>
          <w:szCs w:val="16"/>
        </w:rPr>
        <w:t>Hörfalle</w:t>
      </w:r>
      <w:proofErr w:type="spellEnd"/>
      <w:r w:rsidR="00F93255" w:rsidRPr="00BD0DA0">
        <w:rPr>
          <w:rFonts w:ascii="Times New Roman" w:hAnsi="Times New Roman"/>
          <w:bCs/>
          <w:color w:val="000000"/>
          <w:spacing w:val="-2"/>
          <w:sz w:val="16"/>
          <w:szCs w:val="16"/>
        </w:rPr>
        <w:t xml:space="preserve"> </w:t>
      </w:r>
      <w:r w:rsidR="009E36AB" w:rsidRPr="00BD0DA0">
        <w:rPr>
          <w:rFonts w:ascii="Times New Roman" w:hAnsi="Times New Roman"/>
          <w:bCs/>
          <w:color w:val="000000"/>
          <w:spacing w:val="-2"/>
          <w:sz w:val="16"/>
          <w:szCs w:val="16"/>
        </w:rPr>
        <w:t xml:space="preserve">II </w:t>
      </w:r>
      <w:r w:rsidR="00F93255" w:rsidRPr="00BD0DA0">
        <w:rPr>
          <w:rFonts w:ascii="Times New Roman" w:hAnsi="Times New Roman"/>
          <w:bCs/>
          <w:color w:val="000000"/>
          <w:spacing w:val="-2"/>
          <w:sz w:val="16"/>
          <w:szCs w:val="16"/>
        </w:rPr>
        <w:t>(Keine Täuschung bei Mithören am Zweithörer)</w:t>
      </w:r>
      <w:r w:rsidRPr="00BD0DA0">
        <w:rPr>
          <w:rFonts w:ascii="Times New Roman" w:hAnsi="Times New Roman"/>
          <w:color w:val="000000"/>
          <w:sz w:val="16"/>
          <w:szCs w:val="16"/>
        </w:rPr>
        <w:t xml:space="preserve">; </w:t>
      </w:r>
      <w:r w:rsidRPr="00BD0DA0">
        <w:rPr>
          <w:rFonts w:ascii="Times New Roman" w:hAnsi="Times New Roman"/>
          <w:b/>
          <w:color w:val="000000"/>
          <w:sz w:val="16"/>
          <w:szCs w:val="16"/>
        </w:rPr>
        <w:t>BGHSt 44, 129</w:t>
      </w:r>
      <w:r w:rsidRPr="00BD0DA0">
        <w:rPr>
          <w:rFonts w:ascii="Times New Roman" w:hAnsi="Times New Roman"/>
          <w:color w:val="000000"/>
          <w:sz w:val="16"/>
          <w:szCs w:val="16"/>
        </w:rPr>
        <w:t xml:space="preserve"> – Wahrsagerin (Verwertungsverbot bei Täuschung durch Mitgefangene); </w:t>
      </w:r>
      <w:r w:rsidR="00B86C6B" w:rsidRPr="00BD0DA0">
        <w:rPr>
          <w:rFonts w:ascii="Times New Roman" w:hAnsi="Times New Roman"/>
          <w:b/>
          <w:bCs/>
          <w:spacing w:val="-2"/>
          <w:sz w:val="16"/>
          <w:szCs w:val="16"/>
        </w:rPr>
        <w:t>BGHSt 53, 294</w:t>
      </w:r>
      <w:r w:rsidR="00B86C6B" w:rsidRPr="00BD0DA0">
        <w:rPr>
          <w:rFonts w:ascii="Times New Roman" w:hAnsi="Times New Roman"/>
          <w:bCs/>
          <w:spacing w:val="-2"/>
          <w:sz w:val="16"/>
          <w:szCs w:val="16"/>
        </w:rPr>
        <w:t xml:space="preserve"> – </w:t>
      </w:r>
      <w:r w:rsidR="00F93255" w:rsidRPr="00BD0DA0">
        <w:rPr>
          <w:rFonts w:ascii="Times New Roman" w:hAnsi="Times New Roman"/>
          <w:spacing w:val="-2"/>
          <w:sz w:val="16"/>
          <w:szCs w:val="16"/>
        </w:rPr>
        <w:t>Ehegattengespräch (Verstoß gegen das fair-trial-Prinzip bei Abhören von Ehegattengespräch in der U-Haft)</w:t>
      </w:r>
      <w:r w:rsidR="00B86C6B" w:rsidRPr="00BD0DA0">
        <w:rPr>
          <w:rFonts w:ascii="Times New Roman" w:hAnsi="Times New Roman"/>
          <w:bCs/>
          <w:spacing w:val="-2"/>
          <w:sz w:val="16"/>
          <w:szCs w:val="16"/>
        </w:rPr>
        <w:t xml:space="preserve">, vgl. </w:t>
      </w:r>
      <w:r w:rsidR="00022D77" w:rsidRPr="00BD0DA0">
        <w:rPr>
          <w:rFonts w:ascii="Times New Roman" w:hAnsi="Times New Roman"/>
          <w:bCs/>
          <w:i/>
          <w:iCs/>
          <w:spacing w:val="-2"/>
          <w:sz w:val="16"/>
          <w:szCs w:val="16"/>
        </w:rPr>
        <w:t>Marxen/Rösing</w:t>
      </w:r>
      <w:r w:rsidR="00022D77" w:rsidRPr="00BD0DA0">
        <w:rPr>
          <w:rFonts w:ascii="Times New Roman" w:hAnsi="Times New Roman"/>
          <w:bCs/>
          <w:spacing w:val="-2"/>
          <w:sz w:val="16"/>
          <w:szCs w:val="16"/>
        </w:rPr>
        <w:t xml:space="preserve">, </w:t>
      </w:r>
      <w:r w:rsidR="00B86C6B" w:rsidRPr="00BD0DA0">
        <w:rPr>
          <w:rFonts w:ascii="Times New Roman" w:hAnsi="Times New Roman"/>
          <w:bCs/>
          <w:spacing w:val="-2"/>
          <w:sz w:val="16"/>
          <w:szCs w:val="16"/>
        </w:rPr>
        <w:t xml:space="preserve">famos </w:t>
      </w:r>
      <w:r w:rsidR="005507D9" w:rsidRPr="00BD0DA0">
        <w:rPr>
          <w:rFonts w:ascii="Times New Roman" w:hAnsi="Times New Roman"/>
          <w:bCs/>
          <w:spacing w:val="-2"/>
          <w:sz w:val="16"/>
          <w:szCs w:val="16"/>
        </w:rPr>
        <w:t>0</w:t>
      </w:r>
      <w:r w:rsidR="00B86C6B" w:rsidRPr="00BD0DA0">
        <w:rPr>
          <w:rFonts w:ascii="Times New Roman" w:hAnsi="Times New Roman"/>
          <w:bCs/>
          <w:spacing w:val="-2"/>
          <w:sz w:val="16"/>
          <w:szCs w:val="16"/>
        </w:rPr>
        <w:t>9/2009;</w:t>
      </w:r>
      <w:r w:rsidRPr="00BD0DA0">
        <w:rPr>
          <w:rFonts w:ascii="Times New Roman" w:hAnsi="Times New Roman"/>
          <w:spacing w:val="-2"/>
          <w:sz w:val="16"/>
          <w:szCs w:val="16"/>
        </w:rPr>
        <w:t xml:space="preserve"> </w:t>
      </w:r>
      <w:r w:rsidR="00F86CDA" w:rsidRPr="00BD0DA0">
        <w:rPr>
          <w:rFonts w:ascii="Times New Roman" w:hAnsi="Times New Roman"/>
          <w:b/>
          <w:spacing w:val="-2"/>
          <w:sz w:val="16"/>
          <w:szCs w:val="16"/>
        </w:rPr>
        <w:t>BGH NStZ 2011, 596</w:t>
      </w:r>
      <w:r w:rsidR="00F86CDA" w:rsidRPr="00BD0DA0">
        <w:rPr>
          <w:rFonts w:ascii="Times New Roman" w:hAnsi="Times New Roman"/>
          <w:spacing w:val="-2"/>
          <w:sz w:val="16"/>
          <w:szCs w:val="16"/>
        </w:rPr>
        <w:t xml:space="preserve"> – Aufnahmegerät (private Tonaufnahme verwertbar); </w:t>
      </w:r>
      <w:r w:rsidR="000A22E5" w:rsidRPr="00BD0DA0">
        <w:rPr>
          <w:rFonts w:ascii="Times New Roman" w:hAnsi="Times New Roman"/>
          <w:b/>
          <w:spacing w:val="-2"/>
          <w:sz w:val="16"/>
          <w:szCs w:val="16"/>
        </w:rPr>
        <w:t>BGH JR 2016, 542</w:t>
      </w:r>
      <w:r w:rsidR="000A22E5" w:rsidRPr="00BD0DA0">
        <w:rPr>
          <w:rFonts w:ascii="Times New Roman" w:hAnsi="Times New Roman"/>
          <w:spacing w:val="-2"/>
          <w:sz w:val="16"/>
          <w:szCs w:val="16"/>
        </w:rPr>
        <w:t xml:space="preserve"> </w:t>
      </w:r>
      <w:r w:rsidR="00360FB2" w:rsidRPr="00BD0DA0">
        <w:rPr>
          <w:rFonts w:ascii="Times New Roman" w:hAnsi="Times New Roman"/>
          <w:spacing w:val="-2"/>
          <w:sz w:val="16"/>
          <w:szCs w:val="16"/>
        </w:rPr>
        <w:t>–</w:t>
      </w:r>
      <w:r w:rsidR="003F6D79" w:rsidRPr="00BD0DA0">
        <w:rPr>
          <w:rFonts w:ascii="Times New Roman" w:hAnsi="Times New Roman"/>
          <w:spacing w:val="-2"/>
          <w:sz w:val="16"/>
          <w:szCs w:val="16"/>
        </w:rPr>
        <w:t xml:space="preserve"> </w:t>
      </w:r>
      <w:r w:rsidR="00360FB2" w:rsidRPr="00BD0DA0">
        <w:rPr>
          <w:rFonts w:ascii="Times New Roman" w:hAnsi="Times New Roman"/>
          <w:spacing w:val="-2"/>
          <w:sz w:val="16"/>
          <w:szCs w:val="16"/>
        </w:rPr>
        <w:t xml:space="preserve">heimliche Video- und Audiodateien (kein Verwertungsverbot); </w:t>
      </w:r>
      <w:r w:rsidR="000D682F" w:rsidRPr="00BD0DA0">
        <w:rPr>
          <w:rFonts w:ascii="Times New Roman" w:hAnsi="Times New Roman"/>
          <w:b/>
          <w:spacing w:val="-2"/>
          <w:sz w:val="16"/>
          <w:szCs w:val="16"/>
        </w:rPr>
        <w:t>BGH NJW 2017, 1828</w:t>
      </w:r>
      <w:r w:rsidR="000D682F" w:rsidRPr="00BD0DA0">
        <w:rPr>
          <w:rFonts w:ascii="Times New Roman" w:hAnsi="Times New Roman"/>
          <w:spacing w:val="-2"/>
          <w:sz w:val="16"/>
          <w:szCs w:val="16"/>
        </w:rPr>
        <w:t xml:space="preserve"> – Zeugenseitig provozierte Selbstbelastung (kein Verwertungsverbot); </w:t>
      </w:r>
      <w:r w:rsidR="000D682F" w:rsidRPr="00BD0DA0">
        <w:rPr>
          <w:rFonts w:ascii="Times New Roman" w:hAnsi="Times New Roman"/>
          <w:b/>
          <w:spacing w:val="-2"/>
          <w:sz w:val="16"/>
          <w:szCs w:val="16"/>
        </w:rPr>
        <w:t>OLG Stuttgart NJW 2016, 2280</w:t>
      </w:r>
      <w:r w:rsidR="000D682F" w:rsidRPr="00BD0DA0">
        <w:rPr>
          <w:rFonts w:ascii="Times New Roman" w:hAnsi="Times New Roman"/>
          <w:spacing w:val="-2"/>
          <w:sz w:val="16"/>
          <w:szCs w:val="16"/>
        </w:rPr>
        <w:t xml:space="preserve"> – Dashcam (kein Verwertungsverbot); </w:t>
      </w:r>
      <w:r w:rsidRPr="00BD0DA0">
        <w:rPr>
          <w:rFonts w:ascii="Times New Roman" w:hAnsi="Times New Roman"/>
          <w:b/>
          <w:spacing w:val="-2"/>
          <w:sz w:val="16"/>
          <w:szCs w:val="16"/>
        </w:rPr>
        <w:t>OLG Hamburg NJW 2005, 2327</w:t>
      </w:r>
      <w:r w:rsidRPr="00BD0DA0">
        <w:rPr>
          <w:rFonts w:ascii="Times New Roman" w:hAnsi="Times New Roman"/>
          <w:spacing w:val="-2"/>
          <w:sz w:val="16"/>
          <w:szCs w:val="16"/>
        </w:rPr>
        <w:t xml:space="preserve"> – Motassadeq (§ 136a StPO analog für ausländische Staatsangehörige)</w:t>
      </w:r>
      <w:r w:rsidR="00BD0DA0" w:rsidRPr="00BD0DA0">
        <w:rPr>
          <w:rFonts w:ascii="Times New Roman" w:hAnsi="Times New Roman"/>
          <w:spacing w:val="-2"/>
          <w:sz w:val="16"/>
          <w:szCs w:val="16"/>
        </w:rPr>
        <w:t>.</w:t>
      </w:r>
    </w:p>
    <w:sectPr w:rsidR="007F11C2" w:rsidRPr="00BD0DA0" w:rsidSect="007F11C2">
      <w:pgSz w:w="11906" w:h="16838"/>
      <w:pgMar w:top="566" w:right="424" w:bottom="288" w:left="1276"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01E82" w14:textId="77777777" w:rsidR="00FD218A" w:rsidRDefault="00FD218A">
      <w:r>
        <w:separator/>
      </w:r>
    </w:p>
  </w:endnote>
  <w:endnote w:type="continuationSeparator" w:id="0">
    <w:p w14:paraId="4230347A" w14:textId="77777777" w:rsidR="00FD218A" w:rsidRDefault="00FD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1699" w14:textId="77777777" w:rsidR="00FD218A" w:rsidRDefault="00FD218A">
      <w:r>
        <w:separator/>
      </w:r>
    </w:p>
  </w:footnote>
  <w:footnote w:type="continuationSeparator" w:id="0">
    <w:p w14:paraId="37D239E9" w14:textId="77777777" w:rsidR="00FD218A" w:rsidRDefault="00FD2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1F893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C44C0EC"/>
    <w:lvl w:ilvl="0" w:tplc="92BA6090">
      <w:numFmt w:val="none"/>
      <w:lvlText w:val=""/>
      <w:lvlJc w:val="left"/>
      <w:pPr>
        <w:tabs>
          <w:tab w:val="num" w:pos="360"/>
        </w:tabs>
      </w:pPr>
    </w:lvl>
    <w:lvl w:ilvl="1" w:tplc="EEBE9E9C">
      <w:numFmt w:val="decimal"/>
      <w:lvlText w:val=""/>
      <w:lvlJc w:val="left"/>
    </w:lvl>
    <w:lvl w:ilvl="2" w:tplc="4F3C2C60">
      <w:numFmt w:val="decimal"/>
      <w:lvlText w:val=""/>
      <w:lvlJc w:val="left"/>
    </w:lvl>
    <w:lvl w:ilvl="3" w:tplc="C8528C1C">
      <w:numFmt w:val="decimal"/>
      <w:lvlText w:val=""/>
      <w:lvlJc w:val="left"/>
    </w:lvl>
    <w:lvl w:ilvl="4" w:tplc="AD261246">
      <w:numFmt w:val="decimal"/>
      <w:lvlText w:val=""/>
      <w:lvlJc w:val="left"/>
    </w:lvl>
    <w:lvl w:ilvl="5" w:tplc="8BE0A528">
      <w:numFmt w:val="decimal"/>
      <w:lvlText w:val=""/>
      <w:lvlJc w:val="left"/>
    </w:lvl>
    <w:lvl w:ilvl="6" w:tplc="6EA8A672">
      <w:numFmt w:val="decimal"/>
      <w:lvlText w:val=""/>
      <w:lvlJc w:val="left"/>
    </w:lvl>
    <w:lvl w:ilvl="7" w:tplc="0C3CC62C">
      <w:numFmt w:val="decimal"/>
      <w:lvlText w:val=""/>
      <w:lvlJc w:val="left"/>
    </w:lvl>
    <w:lvl w:ilvl="8" w:tplc="1284D8EA">
      <w:numFmt w:val="decimal"/>
      <w:lvlText w:val=""/>
      <w:lvlJc w:val="left"/>
    </w:lvl>
  </w:abstractNum>
  <w:abstractNum w:abstractNumId="2" w15:restartNumberingAfterBreak="0">
    <w:nsid w:val="214B7019"/>
    <w:multiLevelType w:val="hybridMultilevel"/>
    <w:tmpl w:val="50AADEBE"/>
    <w:lvl w:ilvl="0" w:tplc="E2D29ABE">
      <w:start w:val="1"/>
      <w:numFmt w:val="decimal"/>
      <w:lvlText w:val="%1."/>
      <w:lvlJc w:val="left"/>
      <w:pPr>
        <w:tabs>
          <w:tab w:val="num" w:pos="921"/>
        </w:tabs>
        <w:ind w:left="921" w:hanging="360"/>
      </w:pPr>
      <w:rPr>
        <w:rFonts w:hint="default"/>
        <w:u w:val="single"/>
      </w:rPr>
    </w:lvl>
    <w:lvl w:ilvl="1" w:tplc="00190407">
      <w:start w:val="1"/>
      <w:numFmt w:val="lowerLetter"/>
      <w:lvlText w:val="%2."/>
      <w:lvlJc w:val="left"/>
      <w:pPr>
        <w:tabs>
          <w:tab w:val="num" w:pos="1641"/>
        </w:tabs>
        <w:ind w:left="1641" w:hanging="360"/>
      </w:pPr>
    </w:lvl>
    <w:lvl w:ilvl="2" w:tplc="001B0407" w:tentative="1">
      <w:start w:val="1"/>
      <w:numFmt w:val="lowerRoman"/>
      <w:lvlText w:val="%3."/>
      <w:lvlJc w:val="right"/>
      <w:pPr>
        <w:tabs>
          <w:tab w:val="num" w:pos="2361"/>
        </w:tabs>
        <w:ind w:left="2361" w:hanging="180"/>
      </w:pPr>
    </w:lvl>
    <w:lvl w:ilvl="3" w:tplc="000F0407" w:tentative="1">
      <w:start w:val="1"/>
      <w:numFmt w:val="decimal"/>
      <w:lvlText w:val="%4."/>
      <w:lvlJc w:val="left"/>
      <w:pPr>
        <w:tabs>
          <w:tab w:val="num" w:pos="3081"/>
        </w:tabs>
        <w:ind w:left="3081" w:hanging="360"/>
      </w:pPr>
    </w:lvl>
    <w:lvl w:ilvl="4" w:tplc="00190407" w:tentative="1">
      <w:start w:val="1"/>
      <w:numFmt w:val="lowerLetter"/>
      <w:lvlText w:val="%5."/>
      <w:lvlJc w:val="left"/>
      <w:pPr>
        <w:tabs>
          <w:tab w:val="num" w:pos="3801"/>
        </w:tabs>
        <w:ind w:left="3801" w:hanging="360"/>
      </w:pPr>
    </w:lvl>
    <w:lvl w:ilvl="5" w:tplc="001B0407" w:tentative="1">
      <w:start w:val="1"/>
      <w:numFmt w:val="lowerRoman"/>
      <w:lvlText w:val="%6."/>
      <w:lvlJc w:val="right"/>
      <w:pPr>
        <w:tabs>
          <w:tab w:val="num" w:pos="4521"/>
        </w:tabs>
        <w:ind w:left="4521" w:hanging="180"/>
      </w:pPr>
    </w:lvl>
    <w:lvl w:ilvl="6" w:tplc="000F0407" w:tentative="1">
      <w:start w:val="1"/>
      <w:numFmt w:val="decimal"/>
      <w:lvlText w:val="%7."/>
      <w:lvlJc w:val="left"/>
      <w:pPr>
        <w:tabs>
          <w:tab w:val="num" w:pos="5241"/>
        </w:tabs>
        <w:ind w:left="5241" w:hanging="360"/>
      </w:pPr>
    </w:lvl>
    <w:lvl w:ilvl="7" w:tplc="00190407" w:tentative="1">
      <w:start w:val="1"/>
      <w:numFmt w:val="lowerLetter"/>
      <w:lvlText w:val="%8."/>
      <w:lvlJc w:val="left"/>
      <w:pPr>
        <w:tabs>
          <w:tab w:val="num" w:pos="5961"/>
        </w:tabs>
        <w:ind w:left="5961" w:hanging="360"/>
      </w:pPr>
    </w:lvl>
    <w:lvl w:ilvl="8" w:tplc="001B0407" w:tentative="1">
      <w:start w:val="1"/>
      <w:numFmt w:val="lowerRoman"/>
      <w:lvlText w:val="%9."/>
      <w:lvlJc w:val="right"/>
      <w:pPr>
        <w:tabs>
          <w:tab w:val="num" w:pos="6681"/>
        </w:tabs>
        <w:ind w:left="6681" w:hanging="180"/>
      </w:pPr>
    </w:lvl>
  </w:abstractNum>
  <w:abstractNum w:abstractNumId="3"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4"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8"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9" w15:restartNumberingAfterBreak="0">
    <w:nsid w:val="756D32B1"/>
    <w:multiLevelType w:val="hybridMultilevel"/>
    <w:tmpl w:val="8674B266"/>
    <w:lvl w:ilvl="0" w:tplc="C3866A1A">
      <w:start w:val="1"/>
      <w:numFmt w:val="decimal"/>
      <w:lvlText w:val="%1."/>
      <w:lvlJc w:val="left"/>
      <w:pPr>
        <w:tabs>
          <w:tab w:val="num" w:pos="927"/>
        </w:tabs>
        <w:ind w:left="927" w:hanging="360"/>
      </w:pPr>
      <w:rPr>
        <w:rFonts w:hint="default"/>
        <w:u w:val="single"/>
      </w:rPr>
    </w:lvl>
    <w:lvl w:ilvl="1" w:tplc="00190407" w:tentative="1">
      <w:start w:val="1"/>
      <w:numFmt w:val="lowerLetter"/>
      <w:lvlText w:val="%2."/>
      <w:lvlJc w:val="left"/>
      <w:pPr>
        <w:tabs>
          <w:tab w:val="num" w:pos="1647"/>
        </w:tabs>
        <w:ind w:left="1647" w:hanging="360"/>
      </w:pPr>
    </w:lvl>
    <w:lvl w:ilvl="2" w:tplc="001B0407" w:tentative="1">
      <w:start w:val="1"/>
      <w:numFmt w:val="lowerRoman"/>
      <w:lvlText w:val="%3."/>
      <w:lvlJc w:val="right"/>
      <w:pPr>
        <w:tabs>
          <w:tab w:val="num" w:pos="2367"/>
        </w:tabs>
        <w:ind w:left="2367" w:hanging="180"/>
      </w:pPr>
    </w:lvl>
    <w:lvl w:ilvl="3" w:tplc="000F0407" w:tentative="1">
      <w:start w:val="1"/>
      <w:numFmt w:val="decimal"/>
      <w:lvlText w:val="%4."/>
      <w:lvlJc w:val="left"/>
      <w:pPr>
        <w:tabs>
          <w:tab w:val="num" w:pos="3087"/>
        </w:tabs>
        <w:ind w:left="3087" w:hanging="360"/>
      </w:pPr>
    </w:lvl>
    <w:lvl w:ilvl="4" w:tplc="00190407" w:tentative="1">
      <w:start w:val="1"/>
      <w:numFmt w:val="lowerLetter"/>
      <w:lvlText w:val="%5."/>
      <w:lvlJc w:val="left"/>
      <w:pPr>
        <w:tabs>
          <w:tab w:val="num" w:pos="3807"/>
        </w:tabs>
        <w:ind w:left="3807" w:hanging="360"/>
      </w:pPr>
    </w:lvl>
    <w:lvl w:ilvl="5" w:tplc="001B0407" w:tentative="1">
      <w:start w:val="1"/>
      <w:numFmt w:val="lowerRoman"/>
      <w:lvlText w:val="%6."/>
      <w:lvlJc w:val="right"/>
      <w:pPr>
        <w:tabs>
          <w:tab w:val="num" w:pos="4527"/>
        </w:tabs>
        <w:ind w:left="4527" w:hanging="180"/>
      </w:pPr>
    </w:lvl>
    <w:lvl w:ilvl="6" w:tplc="000F0407" w:tentative="1">
      <w:start w:val="1"/>
      <w:numFmt w:val="decimal"/>
      <w:lvlText w:val="%7."/>
      <w:lvlJc w:val="left"/>
      <w:pPr>
        <w:tabs>
          <w:tab w:val="num" w:pos="5247"/>
        </w:tabs>
        <w:ind w:left="5247" w:hanging="360"/>
      </w:pPr>
    </w:lvl>
    <w:lvl w:ilvl="7" w:tplc="00190407" w:tentative="1">
      <w:start w:val="1"/>
      <w:numFmt w:val="lowerLetter"/>
      <w:lvlText w:val="%8."/>
      <w:lvlJc w:val="left"/>
      <w:pPr>
        <w:tabs>
          <w:tab w:val="num" w:pos="5967"/>
        </w:tabs>
        <w:ind w:left="5967" w:hanging="360"/>
      </w:pPr>
    </w:lvl>
    <w:lvl w:ilvl="8" w:tplc="001B0407" w:tentative="1">
      <w:start w:val="1"/>
      <w:numFmt w:val="lowerRoman"/>
      <w:lvlText w:val="%9."/>
      <w:lvlJc w:val="right"/>
      <w:pPr>
        <w:tabs>
          <w:tab w:val="num" w:pos="6687"/>
        </w:tabs>
        <w:ind w:left="6687" w:hanging="180"/>
      </w:pPr>
    </w:lvl>
  </w:abstractNum>
  <w:abstractNum w:abstractNumId="10" w15:restartNumberingAfterBreak="0">
    <w:nsid w:val="79BF6AE7"/>
    <w:multiLevelType w:val="hybridMultilevel"/>
    <w:tmpl w:val="B35C59F8"/>
    <w:lvl w:ilvl="0" w:tplc="5D120DF8">
      <w:start w:val="1"/>
      <w:numFmt w:val="decimal"/>
      <w:lvlText w:val="%1."/>
      <w:lvlJc w:val="left"/>
      <w:pPr>
        <w:tabs>
          <w:tab w:val="num" w:pos="720"/>
        </w:tabs>
        <w:ind w:left="720" w:hanging="360"/>
      </w:pPr>
      <w:rPr>
        <w:rFonts w:hint="default"/>
        <w:b w:val="0"/>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16cid:durableId="1407343100">
    <w:abstractNumId w:val="6"/>
  </w:num>
  <w:num w:numId="2" w16cid:durableId="1810124342">
    <w:abstractNumId w:val="5"/>
  </w:num>
  <w:num w:numId="3" w16cid:durableId="519708485">
    <w:abstractNumId w:val="3"/>
  </w:num>
  <w:num w:numId="4" w16cid:durableId="759522355">
    <w:abstractNumId w:val="8"/>
  </w:num>
  <w:num w:numId="5" w16cid:durableId="1914781586">
    <w:abstractNumId w:val="4"/>
  </w:num>
  <w:num w:numId="6" w16cid:durableId="1967157194">
    <w:abstractNumId w:val="7"/>
  </w:num>
  <w:num w:numId="7" w16cid:durableId="516190316">
    <w:abstractNumId w:val="1"/>
  </w:num>
  <w:num w:numId="8" w16cid:durableId="1332219213">
    <w:abstractNumId w:val="9"/>
  </w:num>
  <w:num w:numId="9" w16cid:durableId="1232882657">
    <w:abstractNumId w:val="2"/>
  </w:num>
  <w:num w:numId="10" w16cid:durableId="498160289">
    <w:abstractNumId w:val="10"/>
  </w:num>
  <w:num w:numId="11" w16cid:durableId="47849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embedSystemFonts/>
  <w:activeWritingStyle w:appName="MSWord" w:lang="de-DE" w:vendorID="6" w:dllVersion="2" w:checkStyle="1"/>
  <w:proofState w:spelling="clean" w:grammar="clean"/>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01E8D"/>
    <w:rsid w:val="00022D77"/>
    <w:rsid w:val="00075194"/>
    <w:rsid w:val="00075289"/>
    <w:rsid w:val="0009587F"/>
    <w:rsid w:val="000A22E5"/>
    <w:rsid w:val="000B4825"/>
    <w:rsid w:val="000C5954"/>
    <w:rsid w:val="000D682F"/>
    <w:rsid w:val="000E6307"/>
    <w:rsid w:val="000F1D44"/>
    <w:rsid w:val="000F38CC"/>
    <w:rsid w:val="0011399F"/>
    <w:rsid w:val="00133CA1"/>
    <w:rsid w:val="00142651"/>
    <w:rsid w:val="00157543"/>
    <w:rsid w:val="00175B3B"/>
    <w:rsid w:val="001D6C3B"/>
    <w:rsid w:val="00201482"/>
    <w:rsid w:val="00213899"/>
    <w:rsid w:val="00227AF3"/>
    <w:rsid w:val="00230250"/>
    <w:rsid w:val="002744CB"/>
    <w:rsid w:val="002A26A4"/>
    <w:rsid w:val="002A305F"/>
    <w:rsid w:val="002A3CF6"/>
    <w:rsid w:val="002B4A80"/>
    <w:rsid w:val="002B7119"/>
    <w:rsid w:val="002E6B91"/>
    <w:rsid w:val="002F746F"/>
    <w:rsid w:val="00316583"/>
    <w:rsid w:val="003420AB"/>
    <w:rsid w:val="00360404"/>
    <w:rsid w:val="00360FB2"/>
    <w:rsid w:val="00372CD9"/>
    <w:rsid w:val="003A319F"/>
    <w:rsid w:val="003C333D"/>
    <w:rsid w:val="003F6D79"/>
    <w:rsid w:val="00451FC1"/>
    <w:rsid w:val="00465654"/>
    <w:rsid w:val="00475990"/>
    <w:rsid w:val="00490816"/>
    <w:rsid w:val="00496A8D"/>
    <w:rsid w:val="004B688B"/>
    <w:rsid w:val="004D2684"/>
    <w:rsid w:val="004D5888"/>
    <w:rsid w:val="00507B07"/>
    <w:rsid w:val="005245CB"/>
    <w:rsid w:val="005505CA"/>
    <w:rsid w:val="005507D9"/>
    <w:rsid w:val="00552077"/>
    <w:rsid w:val="00580430"/>
    <w:rsid w:val="00594411"/>
    <w:rsid w:val="005A63E0"/>
    <w:rsid w:val="005B13B7"/>
    <w:rsid w:val="005D72F5"/>
    <w:rsid w:val="00613F12"/>
    <w:rsid w:val="006211EA"/>
    <w:rsid w:val="0062399A"/>
    <w:rsid w:val="00625E8F"/>
    <w:rsid w:val="00632913"/>
    <w:rsid w:val="006421C0"/>
    <w:rsid w:val="006904A6"/>
    <w:rsid w:val="006A212F"/>
    <w:rsid w:val="006F732F"/>
    <w:rsid w:val="00701B60"/>
    <w:rsid w:val="00712DDD"/>
    <w:rsid w:val="0072163A"/>
    <w:rsid w:val="00726BBD"/>
    <w:rsid w:val="007458D4"/>
    <w:rsid w:val="007567FE"/>
    <w:rsid w:val="0078231C"/>
    <w:rsid w:val="0079605C"/>
    <w:rsid w:val="007B2E0B"/>
    <w:rsid w:val="007C4D21"/>
    <w:rsid w:val="007F11C2"/>
    <w:rsid w:val="00825C75"/>
    <w:rsid w:val="008341CE"/>
    <w:rsid w:val="0084226B"/>
    <w:rsid w:val="00843AFA"/>
    <w:rsid w:val="008837EA"/>
    <w:rsid w:val="00891214"/>
    <w:rsid w:val="0090539C"/>
    <w:rsid w:val="00912C3F"/>
    <w:rsid w:val="0093477D"/>
    <w:rsid w:val="00942CEB"/>
    <w:rsid w:val="00987A29"/>
    <w:rsid w:val="00995DB5"/>
    <w:rsid w:val="009A3601"/>
    <w:rsid w:val="009E36AB"/>
    <w:rsid w:val="009E43F1"/>
    <w:rsid w:val="009E57A4"/>
    <w:rsid w:val="009F42F1"/>
    <w:rsid w:val="00A37B64"/>
    <w:rsid w:val="00A43FF8"/>
    <w:rsid w:val="00A6444C"/>
    <w:rsid w:val="00A97574"/>
    <w:rsid w:val="00AB07E9"/>
    <w:rsid w:val="00AC5498"/>
    <w:rsid w:val="00AC77F1"/>
    <w:rsid w:val="00AF1B12"/>
    <w:rsid w:val="00B0698B"/>
    <w:rsid w:val="00B078B0"/>
    <w:rsid w:val="00B3166E"/>
    <w:rsid w:val="00B32B7B"/>
    <w:rsid w:val="00B77FEC"/>
    <w:rsid w:val="00B86C6B"/>
    <w:rsid w:val="00B90FB2"/>
    <w:rsid w:val="00BC09FC"/>
    <w:rsid w:val="00BD0DA0"/>
    <w:rsid w:val="00BD6A47"/>
    <w:rsid w:val="00C267E6"/>
    <w:rsid w:val="00C54BA9"/>
    <w:rsid w:val="00C76DBD"/>
    <w:rsid w:val="00C90C2D"/>
    <w:rsid w:val="00D143AC"/>
    <w:rsid w:val="00D80346"/>
    <w:rsid w:val="00DA4EFA"/>
    <w:rsid w:val="00DD1A36"/>
    <w:rsid w:val="00DF0CCA"/>
    <w:rsid w:val="00E32BB3"/>
    <w:rsid w:val="00E44521"/>
    <w:rsid w:val="00E57BEE"/>
    <w:rsid w:val="00EA0F22"/>
    <w:rsid w:val="00EA0F5A"/>
    <w:rsid w:val="00EB373C"/>
    <w:rsid w:val="00EC36D4"/>
    <w:rsid w:val="00EF3E71"/>
    <w:rsid w:val="00F61607"/>
    <w:rsid w:val="00F63EC9"/>
    <w:rsid w:val="00F83F15"/>
    <w:rsid w:val="00F86CDA"/>
    <w:rsid w:val="00F90D1A"/>
    <w:rsid w:val="00F9154C"/>
    <w:rsid w:val="00F93255"/>
    <w:rsid w:val="00FD21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EAB69F"/>
  <w15:chartTrackingRefBased/>
  <w15:docId w15:val="{B10B4D0C-409A-4283-B1E1-C7A0DA8B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paragraph" w:styleId="berschrift2">
    <w:name w:val="heading 2"/>
    <w:basedOn w:val="Standard"/>
    <w:next w:val="Standard"/>
    <w:link w:val="berschrift2Zchn"/>
    <w:uiPriority w:val="9"/>
    <w:qFormat/>
    <w:rsid w:val="00625E8F"/>
    <w:pPr>
      <w:keepNext/>
      <w:spacing w:before="240" w:after="60"/>
      <w:outlineLvl w:val="1"/>
    </w:pPr>
    <w:rPr>
      <w:rFonts w:ascii="Calibri Light" w:hAnsi="Calibri Light" w:cs="Times New Roman"/>
      <w:b/>
      <w:bCs/>
      <w:i/>
      <w:iCs/>
      <w:sz w:val="28"/>
      <w:szCs w:val="28"/>
    </w:rPr>
  </w:style>
  <w:style w:type="paragraph" w:styleId="berschrift3">
    <w:name w:val="heading 3"/>
    <w:basedOn w:val="Standard"/>
    <w:link w:val="berschrift3Zchn"/>
    <w:uiPriority w:val="9"/>
    <w:qFormat/>
    <w:rsid w:val="00625E8F"/>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Textkrper-Zeileneinzug">
    <w:name w:val="Body Text Indent"/>
    <w:basedOn w:val="Standard"/>
    <w:rsid w:val="00422976"/>
    <w:pPr>
      <w:autoSpaceDE/>
      <w:autoSpaceDN/>
      <w:adjustRightInd/>
      <w:ind w:left="336"/>
      <w:jc w:val="both"/>
    </w:pPr>
    <w:rPr>
      <w:rFonts w:ascii="Times New Roman" w:hAnsi="Times New Roman" w:cs="Times New Roman"/>
      <w:snapToGrid w:val="0"/>
      <w:spacing w:val="-2"/>
      <w:sz w:val="20"/>
      <w:szCs w:val="20"/>
    </w:rPr>
  </w:style>
  <w:style w:type="paragraph" w:styleId="Textkrper-Einzug2">
    <w:name w:val="Body Text Indent 2"/>
    <w:basedOn w:val="Standard"/>
    <w:rsid w:val="00422976"/>
    <w:pPr>
      <w:tabs>
        <w:tab w:val="left" w:pos="426"/>
      </w:tabs>
      <w:autoSpaceDE/>
      <w:autoSpaceDN/>
      <w:adjustRightInd/>
      <w:ind w:left="426"/>
      <w:jc w:val="both"/>
    </w:pPr>
    <w:rPr>
      <w:rFonts w:ascii="Times New Roman" w:hAnsi="Times New Roman" w:cs="Times New Roman"/>
      <w:snapToGrid w:val="0"/>
      <w:spacing w:val="-2"/>
      <w:sz w:val="20"/>
      <w:szCs w:val="20"/>
    </w:rPr>
  </w:style>
  <w:style w:type="paragraph" w:styleId="Sprechblasentext">
    <w:name w:val="Balloon Text"/>
    <w:basedOn w:val="Standard"/>
    <w:link w:val="SprechblasentextZchn"/>
    <w:uiPriority w:val="99"/>
    <w:semiHidden/>
    <w:unhideWhenUsed/>
    <w:rsid w:val="00075194"/>
    <w:rPr>
      <w:rFonts w:ascii="Lucida Grande" w:hAnsi="Lucida Grande" w:cs="Lucida Grande"/>
      <w:sz w:val="18"/>
      <w:szCs w:val="18"/>
    </w:rPr>
  </w:style>
  <w:style w:type="character" w:customStyle="1" w:styleId="SprechblasentextZchn">
    <w:name w:val="Sprechblasentext Zchn"/>
    <w:link w:val="Sprechblasentext"/>
    <w:uiPriority w:val="99"/>
    <w:semiHidden/>
    <w:rsid w:val="00075194"/>
    <w:rPr>
      <w:rFonts w:ascii="Lucida Grande" w:hAnsi="Lucida Grande" w:cs="Lucida Grande"/>
      <w:sz w:val="18"/>
      <w:szCs w:val="18"/>
    </w:rPr>
  </w:style>
  <w:style w:type="character" w:styleId="Kommentarzeichen">
    <w:name w:val="annotation reference"/>
    <w:uiPriority w:val="99"/>
    <w:semiHidden/>
    <w:unhideWhenUsed/>
    <w:rsid w:val="00EA0F22"/>
    <w:rPr>
      <w:sz w:val="18"/>
      <w:szCs w:val="18"/>
    </w:rPr>
  </w:style>
  <w:style w:type="paragraph" w:styleId="Kommentartext">
    <w:name w:val="annotation text"/>
    <w:basedOn w:val="Standard"/>
    <w:link w:val="KommentartextZchn"/>
    <w:uiPriority w:val="99"/>
    <w:unhideWhenUsed/>
    <w:rsid w:val="00EA0F22"/>
  </w:style>
  <w:style w:type="character" w:customStyle="1" w:styleId="KommentartextZchn">
    <w:name w:val="Kommentartext Zchn"/>
    <w:link w:val="Kommentartext"/>
    <w:uiPriority w:val="99"/>
    <w:rsid w:val="00EA0F22"/>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EA0F22"/>
    <w:rPr>
      <w:b/>
      <w:bCs/>
      <w:sz w:val="20"/>
      <w:szCs w:val="20"/>
    </w:rPr>
  </w:style>
  <w:style w:type="character" w:customStyle="1" w:styleId="KommentarthemaZchn">
    <w:name w:val="Kommentarthema Zchn"/>
    <w:link w:val="Kommentarthema"/>
    <w:uiPriority w:val="99"/>
    <w:semiHidden/>
    <w:rsid w:val="00EA0F22"/>
    <w:rPr>
      <w:rFonts w:ascii="Dutch Roman 12pt" w:hAnsi="Dutch Roman 12pt" w:cs="Arial Narrow"/>
      <w:b/>
      <w:bCs/>
      <w:sz w:val="24"/>
      <w:szCs w:val="24"/>
    </w:rPr>
  </w:style>
  <w:style w:type="character" w:customStyle="1" w:styleId="berschrift3Zchn">
    <w:name w:val="Überschrift 3 Zchn"/>
    <w:link w:val="berschrift3"/>
    <w:uiPriority w:val="9"/>
    <w:rsid w:val="00625E8F"/>
    <w:rPr>
      <w:b/>
      <w:bCs/>
      <w:sz w:val="27"/>
      <w:szCs w:val="27"/>
    </w:rPr>
  </w:style>
  <w:style w:type="character" w:customStyle="1" w:styleId="berschrift2Zchn">
    <w:name w:val="Überschrift 2 Zchn"/>
    <w:link w:val="berschrift2"/>
    <w:uiPriority w:val="9"/>
    <w:semiHidden/>
    <w:rsid w:val="00625E8F"/>
    <w:rPr>
      <w:rFonts w:ascii="Calibri Light" w:eastAsia="Times New Roman" w:hAnsi="Calibri Light" w:cs="Times New Roman"/>
      <w:b/>
      <w:bCs/>
      <w:i/>
      <w:iCs/>
      <w:sz w:val="28"/>
      <w:szCs w:val="28"/>
    </w:rPr>
  </w:style>
  <w:style w:type="paragraph" w:styleId="berarbeitung">
    <w:name w:val="Revision"/>
    <w:hidden/>
    <w:uiPriority w:val="71"/>
    <w:rsid w:val="00001E8D"/>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12658">
      <w:bodyDiv w:val="1"/>
      <w:marLeft w:val="0"/>
      <w:marRight w:val="0"/>
      <w:marTop w:val="0"/>
      <w:marBottom w:val="0"/>
      <w:divBdr>
        <w:top w:val="none" w:sz="0" w:space="0" w:color="auto"/>
        <w:left w:val="none" w:sz="0" w:space="0" w:color="auto"/>
        <w:bottom w:val="none" w:sz="0" w:space="0" w:color="auto"/>
        <w:right w:val="none" w:sz="0" w:space="0" w:color="auto"/>
      </w:divBdr>
    </w:div>
    <w:div w:id="185919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1099</Words>
  <Characters>6924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2020-10-28T13:40:00Z</cp:lastPrinted>
  <dcterms:created xsi:type="dcterms:W3CDTF">2024-10-10T14:02:00Z</dcterms:created>
  <dcterms:modified xsi:type="dcterms:W3CDTF">2024-10-10T14:02:00Z</dcterms:modified>
</cp:coreProperties>
</file>