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DA6D38" w14:textId="5974298B" w:rsidR="00AC58B6" w:rsidRDefault="00AC58B6" w:rsidP="00E47FED">
      <w:pPr>
        <w:tabs>
          <w:tab w:val="right" w:pos="10206"/>
        </w:tabs>
        <w:jc w:val="both"/>
        <w:rPr>
          <w:spacing w:val="-3"/>
        </w:rPr>
      </w:pPr>
      <w:r>
        <w:rPr>
          <w:b/>
          <w:spacing w:val="-3"/>
        </w:rPr>
        <w:t xml:space="preserve">Prof. Dr. </w:t>
      </w:r>
      <w:r w:rsidR="00DB2F51">
        <w:rPr>
          <w:b/>
          <w:spacing w:val="-3"/>
        </w:rPr>
        <w:t xml:space="preserve">Dr. h.c. </w:t>
      </w:r>
      <w:r>
        <w:rPr>
          <w:b/>
          <w:spacing w:val="-3"/>
        </w:rPr>
        <w:t>Bernd Heinrich/</w:t>
      </w:r>
      <w:r w:rsidR="00BF0BC3">
        <w:rPr>
          <w:b/>
          <w:spacing w:val="-3"/>
        </w:rPr>
        <w:t>Pr</w:t>
      </w:r>
      <w:r w:rsidR="003407C3">
        <w:rPr>
          <w:b/>
          <w:spacing w:val="-3"/>
        </w:rPr>
        <w:t>of</w:t>
      </w:r>
      <w:r w:rsidR="00BF0BC3">
        <w:rPr>
          <w:b/>
          <w:spacing w:val="-3"/>
        </w:rPr>
        <w:t xml:space="preserve">. </w:t>
      </w:r>
      <w:r>
        <w:rPr>
          <w:b/>
          <w:spacing w:val="-3"/>
        </w:rPr>
        <w:t>Dr. Tobias Reinbacher</w:t>
      </w:r>
      <w:r>
        <w:rPr>
          <w:b/>
          <w:spacing w:val="-3"/>
        </w:rPr>
        <w:tab/>
        <w:t xml:space="preserve">Stand: 1. </w:t>
      </w:r>
      <w:r w:rsidR="00A129BC">
        <w:rPr>
          <w:b/>
          <w:spacing w:val="-3"/>
        </w:rPr>
        <w:t>Oktober</w:t>
      </w:r>
      <w:r w:rsidR="00512CA4">
        <w:rPr>
          <w:b/>
          <w:spacing w:val="-3"/>
        </w:rPr>
        <w:t xml:space="preserve"> </w:t>
      </w:r>
      <w:r w:rsidR="00CB50EB">
        <w:rPr>
          <w:b/>
          <w:spacing w:val="-3"/>
        </w:rPr>
        <w:t>20</w:t>
      </w:r>
      <w:r w:rsidR="00A82C55">
        <w:rPr>
          <w:b/>
          <w:spacing w:val="-3"/>
        </w:rPr>
        <w:t>2</w:t>
      </w:r>
      <w:r w:rsidR="00296619">
        <w:rPr>
          <w:b/>
          <w:spacing w:val="-3"/>
        </w:rPr>
        <w:t>4</w:t>
      </w:r>
    </w:p>
    <w:p w14:paraId="569CB743" w14:textId="6905DC27" w:rsidR="00AC58B6" w:rsidRDefault="00AC58B6" w:rsidP="00AC58B6">
      <w:pPr>
        <w:framePr w:w="9726" w:h="1417" w:hSpace="240" w:vSpace="120" w:wrap="auto" w:vAnchor="text" w:hAnchor="margin" w:x="241" w:y="121"/>
        <w:pBdr>
          <w:top w:val="single" w:sz="12" w:space="11" w:color="auto" w:shadow="1"/>
          <w:left w:val="single" w:sz="12" w:space="11" w:color="auto" w:shadow="1"/>
          <w:bottom w:val="single" w:sz="12" w:space="11" w:color="auto" w:shadow="1"/>
          <w:right w:val="single" w:sz="12" w:space="11" w:color="auto" w:shadow="1"/>
        </w:pBdr>
        <w:shd w:val="pct10" w:color="auto" w:fill="auto"/>
        <w:tabs>
          <w:tab w:val="center" w:pos="4862"/>
        </w:tabs>
        <w:jc w:val="center"/>
        <w:rPr>
          <w:spacing w:val="-3"/>
        </w:rPr>
      </w:pPr>
      <w:r>
        <w:rPr>
          <w:b/>
          <w:spacing w:val="-3"/>
        </w:rPr>
        <w:t>Examinatorium Strafprozessrecht – Arbeitsblatt Nr.</w:t>
      </w:r>
      <w:r w:rsidR="00296619">
        <w:rPr>
          <w:b/>
          <w:spacing w:val="-3"/>
        </w:rPr>
        <w:t> </w:t>
      </w:r>
      <w:r>
        <w:rPr>
          <w:b/>
          <w:spacing w:val="-3"/>
        </w:rPr>
        <w:t>39</w:t>
      </w:r>
    </w:p>
    <w:p w14:paraId="552F6ED7" w14:textId="20DBC50C" w:rsidR="00AC58B6" w:rsidRPr="00E47FED" w:rsidRDefault="00AC58B6" w:rsidP="00AC58B6">
      <w:pPr>
        <w:framePr w:w="9726" w:h="1417" w:hSpace="240" w:vSpace="120" w:wrap="auto" w:vAnchor="text" w:hAnchor="margin" w:x="241" w:y="121"/>
        <w:pBdr>
          <w:top w:val="single" w:sz="12" w:space="11" w:color="auto" w:shadow="1"/>
          <w:left w:val="single" w:sz="12" w:space="11" w:color="auto" w:shadow="1"/>
          <w:bottom w:val="single" w:sz="12" w:space="11" w:color="auto" w:shadow="1"/>
          <w:right w:val="single" w:sz="12" w:space="11" w:color="auto" w:shadow="1"/>
        </w:pBdr>
        <w:shd w:val="pct10" w:color="auto" w:fill="auto"/>
        <w:tabs>
          <w:tab w:val="center" w:pos="4862"/>
        </w:tabs>
        <w:jc w:val="center"/>
        <w:rPr>
          <w:spacing w:val="-7"/>
          <w:sz w:val="52"/>
          <w:szCs w:val="52"/>
        </w:rPr>
      </w:pPr>
      <w:r w:rsidRPr="00E47FED">
        <w:rPr>
          <w:b/>
          <w:spacing w:val="-7"/>
          <w:sz w:val="52"/>
          <w:szCs w:val="52"/>
        </w:rPr>
        <w:t>Freie richterliche Beweiswürdigung</w:t>
      </w:r>
      <w:r w:rsidR="00296619">
        <w:rPr>
          <w:b/>
          <w:spacing w:val="-7"/>
          <w:sz w:val="52"/>
          <w:szCs w:val="52"/>
        </w:rPr>
        <w:t xml:space="preserve">, </w:t>
      </w:r>
      <w:r w:rsidRPr="00E47FED">
        <w:rPr>
          <w:b/>
          <w:spacing w:val="-7"/>
          <w:sz w:val="52"/>
          <w:szCs w:val="52"/>
        </w:rPr>
        <w:t>§ 261 StPO</w:t>
      </w:r>
    </w:p>
    <w:p w14:paraId="17BC09D2" w14:textId="77777777" w:rsidR="00AC58B6" w:rsidRDefault="00AC58B6">
      <w:pPr>
        <w:pStyle w:val="Beschriftung"/>
        <w:framePr w:w="9726" w:h="1417" w:hSpace="240" w:vSpace="120" w:wrap="auto" w:vAnchor="text" w:hAnchor="margin" w:x="241" w:y="121"/>
        <w:widowControl/>
        <w:pBdr>
          <w:top w:val="single" w:sz="12" w:space="11" w:color="auto" w:shadow="1"/>
          <w:left w:val="single" w:sz="12" w:space="11" w:color="auto" w:shadow="1"/>
          <w:bottom w:val="single" w:sz="12" w:space="11" w:color="auto" w:shadow="1"/>
          <w:right w:val="single" w:sz="12" w:space="11" w:color="auto" w:shadow="1"/>
        </w:pBdr>
        <w:shd w:val="pct10" w:color="auto" w:fill="auto"/>
        <w:tabs>
          <w:tab w:val="left" w:pos="-720"/>
        </w:tabs>
        <w:spacing w:line="-1" w:lineRule="auto"/>
        <w:jc w:val="both"/>
        <w:rPr>
          <w:rFonts w:ascii="Times New Roman" w:hAnsi="Times New Roman"/>
          <w:vanish/>
          <w:spacing w:val="-7"/>
          <w:sz w:val="60"/>
        </w:rPr>
      </w:pPr>
      <w:r>
        <w:rPr>
          <w:rFonts w:ascii="Times New Roman" w:hAnsi="Times New Roman"/>
          <w:vanish/>
          <w:spacing w:val="-7"/>
          <w:sz w:val="60"/>
        </w:rPr>
        <w:fldChar w:fldCharType="begin"/>
      </w:r>
      <w:r w:rsidR="001A3559">
        <w:rPr>
          <w:rFonts w:ascii="Times New Roman" w:hAnsi="Times New Roman"/>
          <w:vanish/>
          <w:spacing w:val="-7"/>
          <w:sz w:val="60"/>
        </w:rPr>
        <w:instrText>SEQ</w:instrText>
      </w:r>
      <w:r>
        <w:rPr>
          <w:rFonts w:ascii="Times New Roman" w:hAnsi="Times New Roman"/>
          <w:vanish/>
          <w:spacing w:val="-7"/>
          <w:sz w:val="60"/>
        </w:rPr>
        <w:instrText xml:space="preserve"> Text_Box  \* ARABIC</w:instrText>
      </w:r>
      <w:r>
        <w:rPr>
          <w:rFonts w:ascii="Times New Roman" w:hAnsi="Times New Roman"/>
          <w:vanish/>
          <w:spacing w:val="-7"/>
          <w:sz w:val="60"/>
        </w:rPr>
        <w:fldChar w:fldCharType="separate"/>
      </w:r>
      <w:r w:rsidR="008000A2">
        <w:rPr>
          <w:rFonts w:ascii="Times New Roman" w:hAnsi="Times New Roman"/>
          <w:noProof/>
          <w:vanish/>
          <w:spacing w:val="-7"/>
          <w:sz w:val="60"/>
        </w:rPr>
        <w:t>1</w:t>
      </w:r>
      <w:r>
        <w:rPr>
          <w:rFonts w:ascii="Times New Roman" w:hAnsi="Times New Roman"/>
          <w:vanish/>
          <w:spacing w:val="-7"/>
          <w:sz w:val="60"/>
        </w:rPr>
        <w:fldChar w:fldCharType="end"/>
      </w:r>
    </w:p>
    <w:p w14:paraId="23D17D5B" w14:textId="77777777" w:rsidR="00AC58B6" w:rsidRDefault="00AC58B6">
      <w:pPr>
        <w:widowControl/>
        <w:tabs>
          <w:tab w:val="left" w:pos="-720"/>
          <w:tab w:val="left" w:pos="0"/>
          <w:tab w:val="left" w:pos="576"/>
          <w:tab w:val="left" w:pos="864"/>
          <w:tab w:val="left" w:pos="1116"/>
          <w:tab w:val="left" w:pos="1404"/>
          <w:tab w:val="left" w:pos="1692"/>
          <w:tab w:val="left" w:pos="1980"/>
          <w:tab w:val="left" w:pos="2268"/>
          <w:tab w:val="left" w:pos="2880"/>
        </w:tabs>
        <w:ind w:left="567" w:hanging="567"/>
        <w:jc w:val="both"/>
        <w:rPr>
          <w:rFonts w:ascii="Times New Roman" w:hAnsi="Times New Roman"/>
          <w:b/>
          <w:spacing w:val="-2"/>
          <w:sz w:val="18"/>
        </w:rPr>
      </w:pPr>
    </w:p>
    <w:p w14:paraId="36C2CB26" w14:textId="77777777" w:rsidR="00AC58B6" w:rsidRDefault="00AC58B6" w:rsidP="00AC58B6">
      <w:pPr>
        <w:widowControl/>
        <w:tabs>
          <w:tab w:val="left" w:pos="284"/>
        </w:tabs>
        <w:ind w:left="284" w:hanging="284"/>
        <w:jc w:val="both"/>
        <w:rPr>
          <w:rFonts w:ascii="Times New Roman" w:hAnsi="Times New Roman"/>
          <w:spacing w:val="-2"/>
          <w:sz w:val="18"/>
        </w:rPr>
      </w:pPr>
      <w:r>
        <w:rPr>
          <w:rFonts w:ascii="Times New Roman" w:hAnsi="Times New Roman"/>
          <w:b/>
          <w:spacing w:val="-2"/>
          <w:sz w:val="18"/>
        </w:rPr>
        <w:t xml:space="preserve">I. </w:t>
      </w:r>
      <w:r>
        <w:rPr>
          <w:rFonts w:ascii="Times New Roman" w:hAnsi="Times New Roman"/>
          <w:b/>
          <w:spacing w:val="-2"/>
          <w:sz w:val="18"/>
        </w:rPr>
        <w:tab/>
        <w:t>Gesetzestext</w:t>
      </w:r>
      <w:r>
        <w:rPr>
          <w:rFonts w:ascii="Times New Roman" w:hAnsi="Times New Roman"/>
          <w:spacing w:val="-2"/>
          <w:sz w:val="18"/>
        </w:rPr>
        <w:t>: § 261 StPO lautet: „Über das Ergebnis der Beweisaufnahme entscheidet das Gericht nach seiner freien, aus dem Inbegriff der Verhandlung geschöpften Überzeugung.“</w:t>
      </w:r>
    </w:p>
    <w:p w14:paraId="69F84865" w14:textId="20B6977B" w:rsidR="00AC58B6" w:rsidRDefault="00AC58B6" w:rsidP="00AC58B6">
      <w:pPr>
        <w:widowControl/>
        <w:tabs>
          <w:tab w:val="left" w:pos="-720"/>
          <w:tab w:val="left" w:pos="284"/>
          <w:tab w:val="left" w:pos="864"/>
          <w:tab w:val="left" w:pos="1116"/>
          <w:tab w:val="left" w:pos="1404"/>
          <w:tab w:val="left" w:pos="1692"/>
          <w:tab w:val="left" w:pos="1980"/>
          <w:tab w:val="left" w:pos="2268"/>
          <w:tab w:val="left" w:pos="2880"/>
        </w:tabs>
        <w:spacing w:before="120"/>
        <w:ind w:left="284" w:hanging="284"/>
        <w:jc w:val="both"/>
        <w:rPr>
          <w:rFonts w:ascii="Times New Roman" w:hAnsi="Times New Roman"/>
          <w:spacing w:val="-2"/>
          <w:sz w:val="18"/>
        </w:rPr>
      </w:pPr>
      <w:r>
        <w:rPr>
          <w:rFonts w:ascii="Times New Roman" w:hAnsi="Times New Roman"/>
          <w:b/>
          <w:spacing w:val="-2"/>
          <w:sz w:val="18"/>
        </w:rPr>
        <w:t xml:space="preserve">II. </w:t>
      </w:r>
      <w:r>
        <w:rPr>
          <w:rFonts w:ascii="Times New Roman" w:hAnsi="Times New Roman"/>
          <w:b/>
          <w:spacing w:val="-2"/>
          <w:sz w:val="18"/>
        </w:rPr>
        <w:tab/>
        <w:t xml:space="preserve">Grundsatz: </w:t>
      </w:r>
      <w:r>
        <w:rPr>
          <w:rFonts w:ascii="Times New Roman" w:hAnsi="Times New Roman"/>
          <w:spacing w:val="-2"/>
          <w:sz w:val="18"/>
        </w:rPr>
        <w:t xml:space="preserve">Der Richter ist bei der Beweiswürdigung frei. Er entscheidet – im Hinblick auf die Schuld oder Unschuld des Angeklagten – allein nach seiner eigenen persönlichen Überzeugung, d.h. </w:t>
      </w:r>
      <w:r w:rsidR="00BF0BC3">
        <w:rPr>
          <w:rFonts w:ascii="Times New Roman" w:hAnsi="Times New Roman"/>
          <w:spacing w:val="-2"/>
          <w:sz w:val="18"/>
        </w:rPr>
        <w:t>insb</w:t>
      </w:r>
      <w:r w:rsidR="00296619">
        <w:rPr>
          <w:rFonts w:ascii="Times New Roman" w:hAnsi="Times New Roman"/>
          <w:spacing w:val="-2"/>
          <w:sz w:val="18"/>
        </w:rPr>
        <w:t>.</w:t>
      </w:r>
      <w:r w:rsidR="00BF0BC3">
        <w:rPr>
          <w:rFonts w:ascii="Times New Roman" w:hAnsi="Times New Roman"/>
          <w:spacing w:val="-2"/>
          <w:sz w:val="18"/>
        </w:rPr>
        <w:t xml:space="preserve"> auch </w:t>
      </w:r>
      <w:r>
        <w:rPr>
          <w:rFonts w:ascii="Times New Roman" w:hAnsi="Times New Roman"/>
          <w:spacing w:val="-2"/>
          <w:sz w:val="18"/>
        </w:rPr>
        <w:t>danach, ob er dem Angeklagten oder den Zeugen glaubt oder nicht. Er ist also nicht, wie dies teilweise in früheren Rechtsordnungen noch der Fall war, an feste Beweisregeln gebunden (z.B.: Pflicht zur Verurteilung, wenn drei Zeugen den Angeklagten beschuldigen, auch wenn der Richter ihren Aussage</w:t>
      </w:r>
      <w:r w:rsidR="00CC45D1">
        <w:rPr>
          <w:rFonts w:ascii="Times New Roman" w:hAnsi="Times New Roman"/>
          <w:spacing w:val="-2"/>
          <w:sz w:val="18"/>
        </w:rPr>
        <w:t>n</w:t>
      </w:r>
      <w:r>
        <w:rPr>
          <w:rFonts w:ascii="Times New Roman" w:hAnsi="Times New Roman"/>
          <w:spacing w:val="-2"/>
          <w:sz w:val="18"/>
        </w:rPr>
        <w:t xml:space="preserve"> keinen Glauben schenkt; zu den wenigen Ausnahmen vgl. unten III</w:t>
      </w:r>
      <w:r w:rsidR="00BA0AAE">
        <w:rPr>
          <w:rFonts w:ascii="Times New Roman" w:hAnsi="Times New Roman"/>
          <w:spacing w:val="-2"/>
          <w:sz w:val="18"/>
        </w:rPr>
        <w:t>.</w:t>
      </w:r>
      <w:r>
        <w:rPr>
          <w:rFonts w:ascii="Times New Roman" w:hAnsi="Times New Roman"/>
          <w:spacing w:val="-2"/>
          <w:sz w:val="18"/>
        </w:rPr>
        <w:t xml:space="preserve"> 4</w:t>
      </w:r>
      <w:r w:rsidR="00BA0AAE">
        <w:rPr>
          <w:rFonts w:ascii="Times New Roman" w:hAnsi="Times New Roman"/>
          <w:spacing w:val="-2"/>
          <w:sz w:val="18"/>
        </w:rPr>
        <w:t>.</w:t>
      </w:r>
      <w:r>
        <w:rPr>
          <w:rFonts w:ascii="Times New Roman" w:hAnsi="Times New Roman"/>
          <w:spacing w:val="-2"/>
          <w:sz w:val="18"/>
        </w:rPr>
        <w:t>). Dabei ist die Beurteilung der Glaub</w:t>
      </w:r>
      <w:r w:rsidR="00296619">
        <w:rPr>
          <w:rFonts w:ascii="Times New Roman" w:hAnsi="Times New Roman"/>
          <w:spacing w:val="-2"/>
          <w:sz w:val="18"/>
        </w:rPr>
        <w:t>haftigkeit</w:t>
      </w:r>
      <w:r>
        <w:rPr>
          <w:rFonts w:ascii="Times New Roman" w:hAnsi="Times New Roman"/>
          <w:spacing w:val="-2"/>
          <w:sz w:val="18"/>
        </w:rPr>
        <w:t xml:space="preserve"> von Zeugenaussagen die „ureigenste Aufgabe“ des Richters.</w:t>
      </w:r>
    </w:p>
    <w:p w14:paraId="74FE317D" w14:textId="77777777" w:rsidR="00AC58B6" w:rsidRDefault="00AC58B6" w:rsidP="00AC58B6">
      <w:pPr>
        <w:widowControl/>
        <w:tabs>
          <w:tab w:val="left" w:pos="-720"/>
          <w:tab w:val="left" w:pos="0"/>
          <w:tab w:val="left" w:pos="284"/>
          <w:tab w:val="left" w:pos="864"/>
          <w:tab w:val="left" w:pos="1116"/>
          <w:tab w:val="left" w:pos="1404"/>
          <w:tab w:val="left" w:pos="1692"/>
          <w:tab w:val="left" w:pos="1980"/>
          <w:tab w:val="left" w:pos="2268"/>
          <w:tab w:val="left" w:pos="2880"/>
        </w:tabs>
        <w:spacing w:before="120"/>
        <w:ind w:left="284" w:hanging="284"/>
        <w:jc w:val="both"/>
        <w:rPr>
          <w:rFonts w:ascii="Times New Roman" w:hAnsi="Times New Roman"/>
          <w:spacing w:val="-2"/>
          <w:sz w:val="18"/>
        </w:rPr>
      </w:pPr>
      <w:r>
        <w:rPr>
          <w:rFonts w:ascii="Times New Roman" w:hAnsi="Times New Roman"/>
          <w:b/>
          <w:spacing w:val="-2"/>
          <w:sz w:val="18"/>
        </w:rPr>
        <w:t>III. Grenzen:</w:t>
      </w:r>
      <w:r>
        <w:rPr>
          <w:rFonts w:ascii="Times New Roman" w:hAnsi="Times New Roman"/>
          <w:spacing w:val="-2"/>
          <w:sz w:val="18"/>
        </w:rPr>
        <w:t xml:space="preserve"> Bei der Beweiswürdigung hat der Richter allerdings folgende Grenzen zu beachten:</w:t>
      </w:r>
    </w:p>
    <w:p w14:paraId="56BD90B4" w14:textId="17DE1B49" w:rsidR="00AC58B6" w:rsidRDefault="00AC58B6" w:rsidP="00AC58B6">
      <w:pPr>
        <w:widowControl/>
        <w:tabs>
          <w:tab w:val="left" w:pos="-720"/>
          <w:tab w:val="left" w:pos="0"/>
          <w:tab w:val="left" w:pos="567"/>
          <w:tab w:val="left" w:pos="1404"/>
          <w:tab w:val="left" w:pos="1692"/>
          <w:tab w:val="left" w:pos="1980"/>
          <w:tab w:val="left" w:pos="2268"/>
          <w:tab w:val="left" w:pos="2880"/>
        </w:tabs>
        <w:ind w:left="567" w:hanging="283"/>
        <w:jc w:val="both"/>
        <w:rPr>
          <w:rFonts w:ascii="Times New Roman" w:hAnsi="Times New Roman"/>
          <w:spacing w:val="-2"/>
          <w:sz w:val="18"/>
        </w:rPr>
      </w:pPr>
      <w:r w:rsidRPr="00410083">
        <w:rPr>
          <w:rFonts w:ascii="Times New Roman" w:hAnsi="Times New Roman"/>
          <w:spacing w:val="-2"/>
          <w:sz w:val="18"/>
          <w:u w:val="single"/>
        </w:rPr>
        <w:t xml:space="preserve">1. </w:t>
      </w:r>
      <w:r>
        <w:rPr>
          <w:rFonts w:ascii="Times New Roman" w:hAnsi="Times New Roman"/>
          <w:spacing w:val="-2"/>
          <w:sz w:val="18"/>
          <w:u w:val="single"/>
        </w:rPr>
        <w:tab/>
      </w:r>
      <w:r w:rsidRPr="00410083">
        <w:rPr>
          <w:rFonts w:ascii="Times New Roman" w:hAnsi="Times New Roman"/>
          <w:spacing w:val="-2"/>
          <w:sz w:val="18"/>
          <w:u w:val="single"/>
        </w:rPr>
        <w:t>Grenze der Logik:</w:t>
      </w:r>
      <w:r>
        <w:rPr>
          <w:rFonts w:ascii="Times New Roman" w:hAnsi="Times New Roman"/>
          <w:spacing w:val="-2"/>
          <w:sz w:val="18"/>
        </w:rPr>
        <w:t xml:space="preserve"> die Argumentation des Richters muss klar, folgerichtig und frei von Widersprüchen sein.</w:t>
      </w:r>
    </w:p>
    <w:p w14:paraId="416532D1" w14:textId="77777777" w:rsidR="00AC58B6" w:rsidRDefault="00AC58B6" w:rsidP="00AC58B6">
      <w:pPr>
        <w:widowControl/>
        <w:tabs>
          <w:tab w:val="left" w:pos="-720"/>
          <w:tab w:val="left" w:pos="0"/>
          <w:tab w:val="left" w:pos="567"/>
          <w:tab w:val="left" w:pos="1404"/>
          <w:tab w:val="left" w:pos="1692"/>
          <w:tab w:val="left" w:pos="1980"/>
          <w:tab w:val="left" w:pos="2268"/>
          <w:tab w:val="left" w:pos="2880"/>
        </w:tabs>
        <w:ind w:left="567" w:hanging="283"/>
        <w:jc w:val="both"/>
        <w:rPr>
          <w:rFonts w:ascii="Times New Roman" w:hAnsi="Times New Roman"/>
          <w:spacing w:val="-2"/>
          <w:sz w:val="18"/>
        </w:rPr>
      </w:pPr>
      <w:r w:rsidRPr="00410083">
        <w:rPr>
          <w:rFonts w:ascii="Times New Roman" w:hAnsi="Times New Roman"/>
          <w:spacing w:val="-2"/>
          <w:sz w:val="18"/>
          <w:u w:val="single"/>
        </w:rPr>
        <w:t xml:space="preserve">2. </w:t>
      </w:r>
      <w:r>
        <w:rPr>
          <w:rFonts w:ascii="Times New Roman" w:hAnsi="Times New Roman"/>
          <w:spacing w:val="-2"/>
          <w:sz w:val="18"/>
          <w:u w:val="single"/>
        </w:rPr>
        <w:tab/>
      </w:r>
      <w:r w:rsidRPr="00410083">
        <w:rPr>
          <w:rFonts w:ascii="Times New Roman" w:hAnsi="Times New Roman"/>
          <w:spacing w:val="-2"/>
          <w:sz w:val="18"/>
          <w:u w:val="single"/>
        </w:rPr>
        <w:t>Beachtung allgemeingültiger und naturwissenschaftlicher Erfahrungssätze:</w:t>
      </w:r>
      <w:r>
        <w:rPr>
          <w:rFonts w:ascii="Times New Roman" w:hAnsi="Times New Roman"/>
          <w:spacing w:val="-2"/>
          <w:sz w:val="18"/>
        </w:rPr>
        <w:t xml:space="preserve"> Hierunter versteht man die auf Grund allgemeiner Lebenserfahrung oder wissenschaftlicher Erkenntnis gewonnenen Regeln, die ausnahmslos gelten und eine an Sicherheit grenzende Wahrscheinlichkeit zum Inhalt haben.</w:t>
      </w:r>
    </w:p>
    <w:p w14:paraId="625B4534" w14:textId="77777777" w:rsidR="00AC58B6" w:rsidRDefault="00AC58B6" w:rsidP="00AC58B6">
      <w:pPr>
        <w:widowControl/>
        <w:tabs>
          <w:tab w:val="left" w:pos="-720"/>
          <w:tab w:val="left" w:pos="0"/>
          <w:tab w:val="left" w:pos="567"/>
          <w:tab w:val="left" w:pos="1404"/>
          <w:tab w:val="left" w:pos="1692"/>
          <w:tab w:val="left" w:pos="1980"/>
          <w:tab w:val="left" w:pos="2268"/>
          <w:tab w:val="left" w:pos="2880"/>
        </w:tabs>
        <w:ind w:left="567" w:hanging="283"/>
        <w:jc w:val="both"/>
        <w:rPr>
          <w:rFonts w:ascii="Times New Roman" w:hAnsi="Times New Roman"/>
          <w:spacing w:val="-2"/>
          <w:sz w:val="18"/>
        </w:rPr>
      </w:pPr>
      <w:r w:rsidRPr="00410083">
        <w:rPr>
          <w:rFonts w:ascii="Times New Roman" w:hAnsi="Times New Roman"/>
          <w:spacing w:val="-2"/>
          <w:sz w:val="18"/>
          <w:u w:val="single"/>
        </w:rPr>
        <w:t xml:space="preserve">3. </w:t>
      </w:r>
      <w:r>
        <w:rPr>
          <w:rFonts w:ascii="Times New Roman" w:hAnsi="Times New Roman"/>
          <w:spacing w:val="-2"/>
          <w:sz w:val="18"/>
          <w:u w:val="single"/>
        </w:rPr>
        <w:tab/>
      </w:r>
      <w:r w:rsidRPr="00410083">
        <w:rPr>
          <w:rFonts w:ascii="Times New Roman" w:hAnsi="Times New Roman"/>
          <w:spacing w:val="-2"/>
          <w:sz w:val="18"/>
          <w:u w:val="single"/>
        </w:rPr>
        <w:t>Gebot der erschöpfenden Beweiswürdigung:</w:t>
      </w:r>
      <w:r>
        <w:rPr>
          <w:rFonts w:ascii="Times New Roman" w:hAnsi="Times New Roman"/>
          <w:b/>
          <w:spacing w:val="-2"/>
          <w:sz w:val="18"/>
        </w:rPr>
        <w:t xml:space="preserve"> </w:t>
      </w:r>
      <w:r>
        <w:rPr>
          <w:rFonts w:ascii="Times New Roman" w:hAnsi="Times New Roman"/>
          <w:spacing w:val="-2"/>
          <w:sz w:val="18"/>
        </w:rPr>
        <w:t>Der Richter muss das gesamte in der Hauptverhandlung erörterte Beweismaterial erschöpfend würdigen und darf sich nicht auf einzelne Beweismittel beschränken.</w:t>
      </w:r>
    </w:p>
    <w:p w14:paraId="627ACE74" w14:textId="679DAE81" w:rsidR="00AC58B6" w:rsidRDefault="00AC58B6" w:rsidP="00AC58B6">
      <w:pPr>
        <w:widowControl/>
        <w:tabs>
          <w:tab w:val="left" w:pos="-720"/>
          <w:tab w:val="left" w:pos="0"/>
          <w:tab w:val="left" w:pos="567"/>
          <w:tab w:val="left" w:pos="1404"/>
          <w:tab w:val="left" w:pos="1692"/>
          <w:tab w:val="left" w:pos="1980"/>
          <w:tab w:val="left" w:pos="2268"/>
          <w:tab w:val="left" w:pos="2880"/>
        </w:tabs>
        <w:ind w:left="567" w:hanging="283"/>
        <w:jc w:val="both"/>
        <w:rPr>
          <w:rFonts w:ascii="Times New Roman" w:hAnsi="Times New Roman"/>
          <w:spacing w:val="-2"/>
          <w:sz w:val="18"/>
        </w:rPr>
      </w:pPr>
      <w:r w:rsidRPr="00410083">
        <w:rPr>
          <w:rFonts w:ascii="Times New Roman" w:hAnsi="Times New Roman"/>
          <w:spacing w:val="-2"/>
          <w:sz w:val="18"/>
          <w:u w:val="single"/>
        </w:rPr>
        <w:t xml:space="preserve">4. </w:t>
      </w:r>
      <w:r>
        <w:rPr>
          <w:rFonts w:ascii="Times New Roman" w:hAnsi="Times New Roman"/>
          <w:spacing w:val="-2"/>
          <w:sz w:val="18"/>
          <w:u w:val="single"/>
        </w:rPr>
        <w:tab/>
      </w:r>
      <w:r w:rsidRPr="00410083">
        <w:rPr>
          <w:rFonts w:ascii="Times New Roman" w:hAnsi="Times New Roman"/>
          <w:spacing w:val="-2"/>
          <w:sz w:val="18"/>
          <w:u w:val="single"/>
        </w:rPr>
        <w:t>Geschriebene Beweisregeln:</w:t>
      </w:r>
      <w:r>
        <w:rPr>
          <w:rFonts w:ascii="Times New Roman" w:hAnsi="Times New Roman"/>
          <w:b/>
          <w:spacing w:val="-2"/>
          <w:sz w:val="18"/>
        </w:rPr>
        <w:t xml:space="preserve"> </w:t>
      </w:r>
      <w:r>
        <w:rPr>
          <w:rFonts w:ascii="Times New Roman" w:hAnsi="Times New Roman"/>
          <w:spacing w:val="-2"/>
          <w:sz w:val="18"/>
        </w:rPr>
        <w:t>In wenigen Fällen ist dem Richter eine bestimmte Beweisregel durch das Gesetz vorgegeben</w:t>
      </w:r>
      <w:r w:rsidR="009D1149">
        <w:rPr>
          <w:rFonts w:ascii="Times New Roman" w:hAnsi="Times New Roman"/>
          <w:spacing w:val="-2"/>
          <w:sz w:val="18"/>
        </w:rPr>
        <w:t>, v</w:t>
      </w:r>
      <w:r>
        <w:rPr>
          <w:rFonts w:ascii="Times New Roman" w:hAnsi="Times New Roman"/>
          <w:spacing w:val="-2"/>
          <w:sz w:val="18"/>
        </w:rPr>
        <w:t>gl. § 274 StPO (Beweiskraft des Protokolls), §</w:t>
      </w:r>
      <w:r w:rsidR="009D1149">
        <w:rPr>
          <w:rFonts w:ascii="Times New Roman" w:hAnsi="Times New Roman"/>
          <w:spacing w:val="-2"/>
          <w:sz w:val="18"/>
        </w:rPr>
        <w:t> </w:t>
      </w:r>
      <w:r>
        <w:rPr>
          <w:rFonts w:ascii="Times New Roman" w:hAnsi="Times New Roman"/>
          <w:spacing w:val="-2"/>
          <w:sz w:val="18"/>
        </w:rPr>
        <w:t>190 StGB (Wahrheitsbeweis durch Urteil), §</w:t>
      </w:r>
      <w:r w:rsidR="009D1149">
        <w:rPr>
          <w:rFonts w:ascii="Times New Roman" w:hAnsi="Times New Roman"/>
          <w:spacing w:val="-2"/>
          <w:sz w:val="18"/>
        </w:rPr>
        <w:t> </w:t>
      </w:r>
      <w:r>
        <w:rPr>
          <w:rFonts w:ascii="Times New Roman" w:hAnsi="Times New Roman"/>
          <w:spacing w:val="-2"/>
          <w:sz w:val="18"/>
        </w:rPr>
        <w:t>51 I BZRG.</w:t>
      </w:r>
    </w:p>
    <w:p w14:paraId="1C4F2DEE" w14:textId="30255EB1" w:rsidR="00AC58B6" w:rsidRPr="00410083" w:rsidRDefault="00AC58B6" w:rsidP="00AC58B6">
      <w:pPr>
        <w:widowControl/>
        <w:tabs>
          <w:tab w:val="left" w:pos="-720"/>
          <w:tab w:val="left" w:pos="0"/>
          <w:tab w:val="left" w:pos="567"/>
          <w:tab w:val="left" w:pos="1404"/>
          <w:tab w:val="left" w:pos="1692"/>
          <w:tab w:val="left" w:pos="1980"/>
          <w:tab w:val="left" w:pos="2268"/>
          <w:tab w:val="left" w:pos="2880"/>
        </w:tabs>
        <w:ind w:left="567" w:hanging="283"/>
        <w:jc w:val="both"/>
        <w:rPr>
          <w:rFonts w:ascii="Times New Roman" w:hAnsi="Times New Roman"/>
          <w:spacing w:val="-2"/>
          <w:sz w:val="18"/>
          <w:u w:val="single"/>
        </w:rPr>
      </w:pPr>
      <w:r w:rsidRPr="00410083">
        <w:rPr>
          <w:rFonts w:ascii="Times New Roman" w:hAnsi="Times New Roman"/>
          <w:spacing w:val="-2"/>
          <w:sz w:val="18"/>
          <w:u w:val="single"/>
        </w:rPr>
        <w:t xml:space="preserve">5. </w:t>
      </w:r>
      <w:r>
        <w:rPr>
          <w:rFonts w:ascii="Times New Roman" w:hAnsi="Times New Roman"/>
          <w:spacing w:val="-2"/>
          <w:sz w:val="18"/>
          <w:u w:val="single"/>
        </w:rPr>
        <w:tab/>
      </w:r>
      <w:r w:rsidRPr="00410083">
        <w:rPr>
          <w:rFonts w:ascii="Times New Roman" w:hAnsi="Times New Roman"/>
          <w:spacing w:val="-2"/>
          <w:sz w:val="18"/>
          <w:u w:val="single"/>
        </w:rPr>
        <w:t>Beachtung von Beweisverwertungsverboten</w:t>
      </w:r>
      <w:r w:rsidR="009B0D9B">
        <w:rPr>
          <w:rFonts w:ascii="Times New Roman" w:hAnsi="Times New Roman"/>
          <w:spacing w:val="-2"/>
          <w:sz w:val="18"/>
          <w:u w:val="single"/>
        </w:rPr>
        <w:t>:</w:t>
      </w:r>
      <w:r w:rsidRPr="00410083">
        <w:rPr>
          <w:rFonts w:ascii="Times New Roman" w:hAnsi="Times New Roman"/>
          <w:spacing w:val="-2"/>
          <w:sz w:val="18"/>
        </w:rPr>
        <w:t xml:space="preserve"> Siehe dazu die Arbeitsblätter Nr. 26-33.</w:t>
      </w:r>
    </w:p>
    <w:p w14:paraId="24A1CB9E" w14:textId="273C806D" w:rsidR="00AC58B6" w:rsidRDefault="00AC58B6" w:rsidP="00AC58B6">
      <w:pPr>
        <w:widowControl/>
        <w:tabs>
          <w:tab w:val="left" w:pos="-720"/>
          <w:tab w:val="left" w:pos="0"/>
          <w:tab w:val="left" w:pos="567"/>
          <w:tab w:val="left" w:pos="1404"/>
          <w:tab w:val="left" w:pos="1692"/>
          <w:tab w:val="left" w:pos="1980"/>
          <w:tab w:val="left" w:pos="2268"/>
          <w:tab w:val="left" w:pos="2880"/>
        </w:tabs>
        <w:ind w:left="567" w:hanging="283"/>
        <w:jc w:val="both"/>
        <w:rPr>
          <w:rFonts w:ascii="Times New Roman" w:hAnsi="Times New Roman"/>
          <w:b/>
          <w:spacing w:val="-2"/>
          <w:sz w:val="18"/>
        </w:rPr>
      </w:pPr>
      <w:r w:rsidRPr="00410083">
        <w:rPr>
          <w:rFonts w:ascii="Times New Roman" w:hAnsi="Times New Roman"/>
          <w:spacing w:val="-2"/>
          <w:sz w:val="18"/>
          <w:u w:val="single"/>
        </w:rPr>
        <w:t xml:space="preserve">6. </w:t>
      </w:r>
      <w:r>
        <w:rPr>
          <w:rFonts w:ascii="Times New Roman" w:hAnsi="Times New Roman"/>
          <w:spacing w:val="-2"/>
          <w:sz w:val="18"/>
          <w:u w:val="single"/>
        </w:rPr>
        <w:tab/>
      </w:r>
      <w:r w:rsidRPr="00410083">
        <w:rPr>
          <w:rFonts w:ascii="Times New Roman" w:hAnsi="Times New Roman"/>
          <w:spacing w:val="-2"/>
          <w:sz w:val="18"/>
          <w:u w:val="single"/>
        </w:rPr>
        <w:t>Beachtung prozessualer Grundsätze:</w:t>
      </w:r>
      <w:r>
        <w:rPr>
          <w:rFonts w:ascii="Times New Roman" w:hAnsi="Times New Roman"/>
          <w:spacing w:val="-2"/>
          <w:sz w:val="18"/>
        </w:rPr>
        <w:t xml:space="preserve"> Nehmen Beteiligte (Angeklagter, Zeugen) lediglich ihre Rechte wahr, darf dies nicht negativ für den Angeklagten in die Beweiswürdigung mit einfließen. Bsp.: Ein Zeuge nimmt sein Zeugnisverweigerungsrecht nach §§</w:t>
      </w:r>
      <w:r w:rsidR="00C22E91">
        <w:rPr>
          <w:rFonts w:ascii="Times New Roman" w:hAnsi="Times New Roman"/>
          <w:spacing w:val="-2"/>
          <w:sz w:val="18"/>
        </w:rPr>
        <w:t> </w:t>
      </w:r>
      <w:r>
        <w:rPr>
          <w:rFonts w:ascii="Times New Roman" w:hAnsi="Times New Roman"/>
          <w:spacing w:val="-2"/>
          <w:sz w:val="18"/>
        </w:rPr>
        <w:t>52</w:t>
      </w:r>
      <w:r w:rsidR="00C22E91">
        <w:rPr>
          <w:rFonts w:ascii="Times New Roman" w:hAnsi="Times New Roman"/>
          <w:spacing w:val="-2"/>
          <w:sz w:val="18"/>
        </w:rPr>
        <w:t> </w:t>
      </w:r>
      <w:r>
        <w:rPr>
          <w:rFonts w:ascii="Times New Roman" w:hAnsi="Times New Roman"/>
          <w:spacing w:val="-2"/>
          <w:sz w:val="18"/>
        </w:rPr>
        <w:t>ff. StPO in Anspruch (nicht dagegen, wenn er unberechtigt das Zeugnis verweigert; auch die Geltendmachung des Aussageverweigerungsrechtes nach §</w:t>
      </w:r>
      <w:r w:rsidR="009D1149">
        <w:rPr>
          <w:rFonts w:ascii="Times New Roman" w:hAnsi="Times New Roman"/>
          <w:spacing w:val="-2"/>
          <w:sz w:val="18"/>
        </w:rPr>
        <w:t> </w:t>
      </w:r>
      <w:r>
        <w:rPr>
          <w:rFonts w:ascii="Times New Roman" w:hAnsi="Times New Roman"/>
          <w:spacing w:val="-2"/>
          <w:sz w:val="18"/>
        </w:rPr>
        <w:t>55 StPO ist nach h.M. verwertbar). Zu den Rechten des Angeklagten vgl. unten V.</w:t>
      </w:r>
    </w:p>
    <w:p w14:paraId="6E0D432A" w14:textId="77777777" w:rsidR="00AC58B6" w:rsidRDefault="00AC58B6" w:rsidP="00AC58B6">
      <w:pPr>
        <w:widowControl/>
        <w:tabs>
          <w:tab w:val="left" w:pos="-720"/>
          <w:tab w:val="left" w:pos="0"/>
          <w:tab w:val="left" w:pos="288"/>
          <w:tab w:val="left" w:pos="576"/>
          <w:tab w:val="left" w:pos="864"/>
          <w:tab w:val="left" w:pos="1116"/>
          <w:tab w:val="left" w:pos="1404"/>
          <w:tab w:val="left" w:pos="1692"/>
          <w:tab w:val="left" w:pos="1980"/>
          <w:tab w:val="left" w:pos="2268"/>
          <w:tab w:val="left" w:pos="2880"/>
        </w:tabs>
        <w:spacing w:before="120"/>
        <w:ind w:left="284" w:hanging="284"/>
        <w:jc w:val="both"/>
        <w:rPr>
          <w:rFonts w:ascii="Times New Roman" w:hAnsi="Times New Roman"/>
          <w:spacing w:val="-2"/>
          <w:sz w:val="18"/>
        </w:rPr>
      </w:pPr>
      <w:r>
        <w:rPr>
          <w:rFonts w:ascii="Times New Roman" w:hAnsi="Times New Roman"/>
          <w:b/>
          <w:spacing w:val="-2"/>
          <w:sz w:val="18"/>
        </w:rPr>
        <w:t>IV. Grad der Gewissheit – In dubio pro reo:</w:t>
      </w:r>
      <w:r>
        <w:rPr>
          <w:rFonts w:ascii="Times New Roman" w:hAnsi="Times New Roman"/>
          <w:spacing w:val="-2"/>
          <w:sz w:val="18"/>
        </w:rPr>
        <w:t xml:space="preserve"> Eine absolut sichere Gewissheit wird nur in den wenigsten Fällen vorliegen. Fraglich ist daher, welchen Grad die Gewissheit erreichen muss. Folgende Grundsätze sind hierbei zu beachten:</w:t>
      </w:r>
    </w:p>
    <w:p w14:paraId="0DD68923" w14:textId="77777777" w:rsidR="00AC58B6" w:rsidRDefault="00AC58B6" w:rsidP="00AC58B6">
      <w:pPr>
        <w:widowControl/>
        <w:tabs>
          <w:tab w:val="left" w:pos="-720"/>
          <w:tab w:val="left" w:pos="567"/>
          <w:tab w:val="left" w:pos="864"/>
          <w:tab w:val="left" w:pos="1116"/>
          <w:tab w:val="left" w:pos="1404"/>
          <w:tab w:val="left" w:pos="1692"/>
          <w:tab w:val="left" w:pos="1980"/>
          <w:tab w:val="left" w:pos="2268"/>
          <w:tab w:val="left" w:pos="2880"/>
        </w:tabs>
        <w:ind w:left="567" w:hanging="282"/>
        <w:jc w:val="both"/>
        <w:rPr>
          <w:rFonts w:ascii="Times New Roman" w:hAnsi="Times New Roman"/>
          <w:spacing w:val="-2"/>
          <w:sz w:val="18"/>
        </w:rPr>
      </w:pPr>
      <w:r w:rsidRPr="00410083">
        <w:rPr>
          <w:rFonts w:ascii="Times New Roman" w:hAnsi="Times New Roman"/>
          <w:spacing w:val="-2"/>
          <w:sz w:val="18"/>
          <w:u w:val="single"/>
        </w:rPr>
        <w:t xml:space="preserve">1. </w:t>
      </w:r>
      <w:r>
        <w:rPr>
          <w:rFonts w:ascii="Times New Roman" w:hAnsi="Times New Roman"/>
          <w:spacing w:val="-2"/>
          <w:sz w:val="18"/>
          <w:u w:val="single"/>
        </w:rPr>
        <w:tab/>
      </w:r>
      <w:r w:rsidRPr="00410083">
        <w:rPr>
          <w:rFonts w:ascii="Times New Roman" w:hAnsi="Times New Roman"/>
          <w:spacing w:val="-2"/>
          <w:sz w:val="18"/>
          <w:u w:val="single"/>
        </w:rPr>
        <w:t>Eine lediglich theoretische Möglichkeit</w:t>
      </w:r>
      <w:r>
        <w:rPr>
          <w:rFonts w:ascii="Times New Roman" w:hAnsi="Times New Roman"/>
          <w:spacing w:val="-2"/>
          <w:sz w:val="18"/>
        </w:rPr>
        <w:t>, dass sich das Geschehen anders zugetragen hat, hindert die Verurteilung nicht.</w:t>
      </w:r>
    </w:p>
    <w:p w14:paraId="14604A5A" w14:textId="7B70BFD6" w:rsidR="00AC58B6" w:rsidRDefault="00AC58B6" w:rsidP="006D5D3D">
      <w:pPr>
        <w:widowControl/>
        <w:tabs>
          <w:tab w:val="left" w:pos="-720"/>
          <w:tab w:val="left" w:pos="288"/>
          <w:tab w:val="left" w:pos="567"/>
          <w:tab w:val="left" w:pos="1116"/>
          <w:tab w:val="left" w:pos="1404"/>
          <w:tab w:val="left" w:pos="1692"/>
          <w:tab w:val="left" w:pos="1980"/>
          <w:tab w:val="left" w:pos="2268"/>
          <w:tab w:val="left" w:pos="2880"/>
        </w:tabs>
        <w:ind w:left="567" w:hanging="283"/>
        <w:jc w:val="both"/>
        <w:rPr>
          <w:rFonts w:ascii="Times New Roman" w:hAnsi="Times New Roman"/>
          <w:spacing w:val="-2"/>
          <w:sz w:val="18"/>
        </w:rPr>
      </w:pPr>
      <w:r w:rsidRPr="00410083">
        <w:rPr>
          <w:rFonts w:ascii="Times New Roman" w:hAnsi="Times New Roman"/>
          <w:spacing w:val="-2"/>
          <w:sz w:val="18"/>
          <w:u w:val="single"/>
        </w:rPr>
        <w:t xml:space="preserve">2. </w:t>
      </w:r>
      <w:r>
        <w:rPr>
          <w:rFonts w:ascii="Times New Roman" w:hAnsi="Times New Roman"/>
          <w:spacing w:val="-2"/>
          <w:sz w:val="18"/>
          <w:u w:val="single"/>
        </w:rPr>
        <w:tab/>
      </w:r>
      <w:r w:rsidRPr="00410083">
        <w:rPr>
          <w:rFonts w:ascii="Times New Roman" w:hAnsi="Times New Roman"/>
          <w:spacing w:val="-2"/>
          <w:sz w:val="18"/>
          <w:u w:val="single"/>
        </w:rPr>
        <w:t>In-dubio-pro-reo-Grundsatz:</w:t>
      </w:r>
      <w:r w:rsidRPr="00410083">
        <w:rPr>
          <w:rFonts w:ascii="Times New Roman" w:hAnsi="Times New Roman"/>
          <w:spacing w:val="-2"/>
          <w:sz w:val="18"/>
        </w:rPr>
        <w:t xml:space="preserve"> Vernünftige Zweifel</w:t>
      </w:r>
      <w:r>
        <w:rPr>
          <w:rFonts w:ascii="Times New Roman" w:hAnsi="Times New Roman"/>
          <w:spacing w:val="-2"/>
          <w:sz w:val="18"/>
        </w:rPr>
        <w:t xml:space="preserve"> des Richters bezüglich eines bestimmten Geschehensablaufes schließen dagegen die Verurteilung nach dem Grundsatz </w:t>
      </w:r>
      <w:r w:rsidRPr="006D5D3D">
        <w:rPr>
          <w:rFonts w:ascii="Times New Roman" w:hAnsi="Times New Roman"/>
          <w:b/>
          <w:bCs/>
          <w:spacing w:val="-2"/>
          <w:sz w:val="18"/>
        </w:rPr>
        <w:t>in dubio pro reo</w:t>
      </w:r>
      <w:r>
        <w:rPr>
          <w:rFonts w:ascii="Times New Roman" w:hAnsi="Times New Roman"/>
          <w:spacing w:val="-2"/>
          <w:sz w:val="18"/>
        </w:rPr>
        <w:t xml:space="preserve"> aus. Der Grundsatz gilt aber nur nach Ende der gesamten Beweiserhebung und Beweiswürdigung (d.h. nach Berücksichtigung sämtlicher Beweismittel). Ist der Richter dann von der Schuld des Angeklagten nicht überzeugt, muss er freisprechen. Im Umkehrschluss darf nicht jede einzelne Zeugenaussage isoliert nach dem Grundsatz </w:t>
      </w:r>
      <w:r w:rsidR="009D1149">
        <w:rPr>
          <w:rFonts w:ascii="Times New Roman" w:hAnsi="Times New Roman"/>
          <w:spacing w:val="-2"/>
          <w:sz w:val="18"/>
        </w:rPr>
        <w:t>i</w:t>
      </w:r>
      <w:r>
        <w:rPr>
          <w:rFonts w:ascii="Times New Roman" w:hAnsi="Times New Roman"/>
          <w:spacing w:val="-2"/>
          <w:sz w:val="18"/>
        </w:rPr>
        <w:t>n dubio pro reo</w:t>
      </w:r>
      <w:r w:rsidR="00BF0BC3">
        <w:rPr>
          <w:rFonts w:ascii="Times New Roman" w:hAnsi="Times New Roman"/>
          <w:spacing w:val="-2"/>
          <w:sz w:val="18"/>
        </w:rPr>
        <w:t xml:space="preserve"> </w:t>
      </w:r>
      <w:r>
        <w:rPr>
          <w:rFonts w:ascii="Times New Roman" w:hAnsi="Times New Roman"/>
          <w:spacing w:val="-2"/>
          <w:sz w:val="18"/>
        </w:rPr>
        <w:t>beurteilt werden.</w:t>
      </w:r>
      <w:r w:rsidR="009D1149">
        <w:rPr>
          <w:rFonts w:ascii="Times New Roman" w:hAnsi="Times New Roman"/>
          <w:spacing w:val="-2"/>
          <w:sz w:val="18"/>
        </w:rPr>
        <w:t xml:space="preserve"> </w:t>
      </w:r>
      <w:r>
        <w:rPr>
          <w:rFonts w:ascii="Times New Roman" w:hAnsi="Times New Roman"/>
          <w:spacing w:val="-2"/>
          <w:sz w:val="18"/>
        </w:rPr>
        <w:t xml:space="preserve">Der Grundsatz gilt ferner nur für die Frage, ob dem Angeklagten ein </w:t>
      </w:r>
      <w:r>
        <w:rPr>
          <w:rFonts w:ascii="Times New Roman" w:hAnsi="Times New Roman"/>
          <w:b/>
          <w:spacing w:val="-2"/>
          <w:sz w:val="18"/>
        </w:rPr>
        <w:t>tatsächliches Geschehen</w:t>
      </w:r>
      <w:r>
        <w:rPr>
          <w:rFonts w:ascii="Times New Roman" w:hAnsi="Times New Roman"/>
          <w:spacing w:val="-2"/>
          <w:sz w:val="18"/>
        </w:rPr>
        <w:t xml:space="preserve"> vorgeworfen werden kann oder nicht. Auf die </w:t>
      </w:r>
      <w:r>
        <w:rPr>
          <w:rFonts w:ascii="Times New Roman" w:hAnsi="Times New Roman"/>
          <w:b/>
          <w:spacing w:val="-2"/>
          <w:sz w:val="18"/>
        </w:rPr>
        <w:t>rechtliche Würdigung</w:t>
      </w:r>
      <w:r>
        <w:rPr>
          <w:rFonts w:ascii="Times New Roman" w:hAnsi="Times New Roman"/>
          <w:spacing w:val="-2"/>
          <w:sz w:val="18"/>
        </w:rPr>
        <w:t xml:space="preserve"> eines festgestellten Sachverhaltes ist </w:t>
      </w:r>
      <w:r w:rsidR="009D1149">
        <w:rPr>
          <w:rFonts w:ascii="Times New Roman" w:hAnsi="Times New Roman"/>
          <w:spacing w:val="-2"/>
          <w:sz w:val="18"/>
        </w:rPr>
        <w:t>er</w:t>
      </w:r>
      <w:r>
        <w:rPr>
          <w:rFonts w:ascii="Times New Roman" w:hAnsi="Times New Roman"/>
          <w:spacing w:val="-2"/>
          <w:sz w:val="18"/>
        </w:rPr>
        <w:t xml:space="preserve"> nicht anwendbar.</w:t>
      </w:r>
    </w:p>
    <w:p w14:paraId="4D111D43" w14:textId="77777777" w:rsidR="00AC58B6" w:rsidRDefault="00AC58B6" w:rsidP="00AC58B6">
      <w:pPr>
        <w:widowControl/>
        <w:tabs>
          <w:tab w:val="left" w:pos="-720"/>
          <w:tab w:val="left" w:pos="284"/>
          <w:tab w:val="left" w:pos="576"/>
          <w:tab w:val="left" w:pos="864"/>
          <w:tab w:val="left" w:pos="1116"/>
          <w:tab w:val="left" w:pos="1404"/>
          <w:tab w:val="left" w:pos="1692"/>
          <w:tab w:val="left" w:pos="1980"/>
          <w:tab w:val="left" w:pos="2268"/>
          <w:tab w:val="left" w:pos="2880"/>
        </w:tabs>
        <w:spacing w:before="120"/>
        <w:ind w:left="284" w:hanging="284"/>
        <w:jc w:val="both"/>
        <w:rPr>
          <w:rFonts w:ascii="Times New Roman" w:hAnsi="Times New Roman"/>
          <w:spacing w:val="-2"/>
          <w:sz w:val="18"/>
        </w:rPr>
      </w:pPr>
      <w:r>
        <w:rPr>
          <w:rFonts w:ascii="Times New Roman" w:hAnsi="Times New Roman"/>
          <w:b/>
          <w:spacing w:val="-2"/>
          <w:sz w:val="18"/>
        </w:rPr>
        <w:t xml:space="preserve">V. </w:t>
      </w:r>
      <w:r>
        <w:rPr>
          <w:rFonts w:ascii="Times New Roman" w:hAnsi="Times New Roman"/>
          <w:b/>
          <w:spacing w:val="-2"/>
          <w:sz w:val="18"/>
        </w:rPr>
        <w:tab/>
        <w:t xml:space="preserve">Sonderproblem: Einlassung des Beschuldigten/Angeklagten: </w:t>
      </w:r>
      <w:r>
        <w:rPr>
          <w:rFonts w:ascii="Times New Roman" w:hAnsi="Times New Roman"/>
          <w:spacing w:val="-2"/>
          <w:sz w:val="18"/>
        </w:rPr>
        <w:t>Nimmt der Beschuldigte/Angeklagte lediglich die ihm durch das Gesetz garantierten Rechte wahr, so dürfen daraus keine negativen Schlüsse gezogen werden (Grund: sonst würde er mittelbar dazu gezwungen, auf die Geltendmachung ebendieser Rechte zu verzichten). Hierzu gehören:</w:t>
      </w:r>
    </w:p>
    <w:p w14:paraId="249C6085" w14:textId="77777777" w:rsidR="00AC58B6" w:rsidRDefault="00AC58B6" w:rsidP="00AC58B6">
      <w:pPr>
        <w:widowControl/>
        <w:tabs>
          <w:tab w:val="left" w:pos="-720"/>
          <w:tab w:val="left" w:pos="284"/>
          <w:tab w:val="left" w:pos="567"/>
          <w:tab w:val="left" w:pos="1116"/>
          <w:tab w:val="left" w:pos="1404"/>
          <w:tab w:val="left" w:pos="1692"/>
          <w:tab w:val="left" w:pos="1980"/>
          <w:tab w:val="left" w:pos="2268"/>
          <w:tab w:val="left" w:pos="2880"/>
        </w:tabs>
        <w:ind w:left="567" w:hanging="283"/>
        <w:jc w:val="both"/>
        <w:rPr>
          <w:rFonts w:ascii="Times New Roman" w:hAnsi="Times New Roman"/>
          <w:spacing w:val="-2"/>
          <w:sz w:val="18"/>
        </w:rPr>
      </w:pPr>
      <w:r w:rsidRPr="00410083">
        <w:rPr>
          <w:rFonts w:ascii="Times New Roman" w:hAnsi="Times New Roman"/>
          <w:spacing w:val="-2"/>
          <w:sz w:val="18"/>
          <w:u w:val="single"/>
        </w:rPr>
        <w:t xml:space="preserve">1. </w:t>
      </w:r>
      <w:r>
        <w:rPr>
          <w:rFonts w:ascii="Times New Roman" w:hAnsi="Times New Roman"/>
          <w:spacing w:val="-2"/>
          <w:sz w:val="18"/>
          <w:u w:val="single"/>
        </w:rPr>
        <w:tab/>
      </w:r>
      <w:r w:rsidRPr="00410083">
        <w:rPr>
          <w:rFonts w:ascii="Times New Roman" w:hAnsi="Times New Roman"/>
          <w:spacing w:val="-2"/>
          <w:sz w:val="18"/>
          <w:u w:val="single"/>
        </w:rPr>
        <w:t>Geltendmachung des Schweigerechts:</w:t>
      </w:r>
      <w:r>
        <w:rPr>
          <w:rFonts w:ascii="Times New Roman" w:hAnsi="Times New Roman"/>
          <w:spacing w:val="-2"/>
          <w:sz w:val="18"/>
        </w:rPr>
        <w:t xml:space="preserve"> Ein Schweigen des Angeklagten in der Hauptverhandlung darf ihm nicht angelastet werden. Dies gilt auch für </w:t>
      </w:r>
      <w:r>
        <w:rPr>
          <w:rFonts w:ascii="Times New Roman" w:hAnsi="Times New Roman"/>
          <w:b/>
          <w:spacing w:val="-2"/>
          <w:sz w:val="18"/>
        </w:rPr>
        <w:t>zeitwei</w:t>
      </w:r>
      <w:r w:rsidR="00BF08D6">
        <w:rPr>
          <w:rFonts w:ascii="Times New Roman" w:hAnsi="Times New Roman"/>
          <w:b/>
          <w:spacing w:val="-2"/>
          <w:sz w:val="18"/>
        </w:rPr>
        <w:t>ses</w:t>
      </w:r>
      <w:r>
        <w:rPr>
          <w:rFonts w:ascii="Times New Roman" w:hAnsi="Times New Roman"/>
          <w:b/>
          <w:spacing w:val="-2"/>
          <w:sz w:val="18"/>
        </w:rPr>
        <w:t xml:space="preserve"> Schweigen</w:t>
      </w:r>
      <w:r>
        <w:rPr>
          <w:rFonts w:ascii="Times New Roman" w:hAnsi="Times New Roman"/>
          <w:spacing w:val="-2"/>
          <w:sz w:val="18"/>
        </w:rPr>
        <w:t xml:space="preserve"> (</w:t>
      </w:r>
      <w:r w:rsidR="00F158C0">
        <w:rPr>
          <w:rFonts w:ascii="Times New Roman" w:hAnsi="Times New Roman"/>
          <w:spacing w:val="-2"/>
          <w:sz w:val="18"/>
        </w:rPr>
        <w:t xml:space="preserve">z.B. </w:t>
      </w:r>
      <w:r>
        <w:rPr>
          <w:rFonts w:ascii="Times New Roman" w:hAnsi="Times New Roman"/>
          <w:spacing w:val="-2"/>
          <w:sz w:val="18"/>
        </w:rPr>
        <w:t>Angaben lediglich im Ermittlungsverfahren oder Schweigen im Ermittlungsverfahren und Leugnen der Tat in der Hauptverhandlung</w:t>
      </w:r>
      <w:r w:rsidR="00BF08D6">
        <w:rPr>
          <w:rFonts w:ascii="Times New Roman" w:hAnsi="Times New Roman"/>
          <w:spacing w:val="-2"/>
          <w:sz w:val="18"/>
        </w:rPr>
        <w:t>, also bezogen auf verschiedene Verfahrensabschnitte</w:t>
      </w:r>
      <w:r>
        <w:rPr>
          <w:rFonts w:ascii="Times New Roman" w:hAnsi="Times New Roman"/>
          <w:spacing w:val="-2"/>
          <w:sz w:val="18"/>
        </w:rPr>
        <w:t>)</w:t>
      </w:r>
      <w:r w:rsidR="00BF08D6">
        <w:rPr>
          <w:rFonts w:ascii="Times New Roman" w:hAnsi="Times New Roman"/>
          <w:spacing w:val="-2"/>
          <w:sz w:val="18"/>
        </w:rPr>
        <w:t xml:space="preserve">. </w:t>
      </w:r>
      <w:r w:rsidR="00CA5401">
        <w:rPr>
          <w:rFonts w:ascii="Times New Roman" w:hAnsi="Times New Roman"/>
          <w:spacing w:val="-2"/>
          <w:sz w:val="18"/>
        </w:rPr>
        <w:t>Dem völligen Schweigen sind solche Äußerungen des Angeklagten gleichzusetzen, in denen er die Täterschaft pauschal bestreitet bzw. erklärt, er sei unschuldig.</w:t>
      </w:r>
    </w:p>
    <w:p w14:paraId="1E2F853E" w14:textId="4D3DA0FC" w:rsidR="00BF08D6" w:rsidRDefault="00BF08D6" w:rsidP="00AC58B6">
      <w:pPr>
        <w:widowControl/>
        <w:tabs>
          <w:tab w:val="left" w:pos="-720"/>
          <w:tab w:val="left" w:pos="284"/>
          <w:tab w:val="left" w:pos="567"/>
          <w:tab w:val="left" w:pos="1116"/>
          <w:tab w:val="left" w:pos="1404"/>
          <w:tab w:val="left" w:pos="1692"/>
          <w:tab w:val="left" w:pos="1980"/>
          <w:tab w:val="left" w:pos="2268"/>
          <w:tab w:val="left" w:pos="2880"/>
        </w:tabs>
        <w:ind w:left="567" w:hanging="283"/>
        <w:jc w:val="both"/>
        <w:rPr>
          <w:rFonts w:ascii="Times New Roman" w:hAnsi="Times New Roman"/>
          <w:spacing w:val="-2"/>
          <w:sz w:val="18"/>
        </w:rPr>
      </w:pPr>
      <w:r>
        <w:rPr>
          <w:rFonts w:ascii="Times New Roman" w:hAnsi="Times New Roman"/>
          <w:spacing w:val="-2"/>
          <w:sz w:val="18"/>
          <w:u w:val="single"/>
        </w:rPr>
        <w:t>2.</w:t>
      </w:r>
      <w:r>
        <w:rPr>
          <w:rFonts w:ascii="Times New Roman" w:hAnsi="Times New Roman"/>
          <w:spacing w:val="-2"/>
          <w:sz w:val="18"/>
          <w:u w:val="single"/>
        </w:rPr>
        <w:tab/>
      </w:r>
      <w:r w:rsidRPr="00410083">
        <w:rPr>
          <w:rFonts w:ascii="Times New Roman" w:hAnsi="Times New Roman"/>
          <w:spacing w:val="-2"/>
          <w:sz w:val="18"/>
          <w:u w:val="single"/>
        </w:rPr>
        <w:t>Ausnahme: Teilschweigen:</w:t>
      </w:r>
      <w:r>
        <w:rPr>
          <w:rFonts w:ascii="Times New Roman" w:hAnsi="Times New Roman"/>
          <w:spacing w:val="-2"/>
          <w:sz w:val="18"/>
        </w:rPr>
        <w:t xml:space="preserve"> Lässt sich der Angeklagte teilweise zur Sache ein (er gibt nur auf manche Fragen eine Auskunft), macht er sich freiwillig zum Beweismittel und setzt sich damit der freien richterlichen Beweiswürdigung aus</w:t>
      </w:r>
      <w:r w:rsidR="00C143A8">
        <w:rPr>
          <w:rFonts w:ascii="Times New Roman" w:hAnsi="Times New Roman"/>
          <w:spacing w:val="-2"/>
          <w:sz w:val="18"/>
        </w:rPr>
        <w:t>.</w:t>
      </w:r>
      <w:r>
        <w:rPr>
          <w:rFonts w:ascii="Times New Roman" w:hAnsi="Times New Roman"/>
          <w:spacing w:val="-2"/>
          <w:sz w:val="18"/>
        </w:rPr>
        <w:t xml:space="preserve"> </w:t>
      </w:r>
      <w:r w:rsidR="00C143A8">
        <w:rPr>
          <w:rFonts w:ascii="Times New Roman" w:hAnsi="Times New Roman"/>
          <w:spacing w:val="-2"/>
          <w:sz w:val="18"/>
        </w:rPr>
        <w:t>H</w:t>
      </w:r>
      <w:r>
        <w:rPr>
          <w:rFonts w:ascii="Times New Roman" w:hAnsi="Times New Roman"/>
          <w:spacing w:val="-2"/>
          <w:sz w:val="18"/>
        </w:rPr>
        <w:t xml:space="preserve">ier darf der Richter daher auch für ihn nachteilige Schlüsse aus dem Teilschweigen ziehen (das Gleiche gilt für ein Teilschweigen eines Zeugen). Kein Teilschweigen liegt jedoch vor, wenn sich der Angeklagte nur zu einem von mehreren Tatvorwürfen </w:t>
      </w:r>
      <w:r w:rsidR="005436FB">
        <w:rPr>
          <w:rFonts w:ascii="Times New Roman" w:hAnsi="Times New Roman"/>
          <w:spacing w:val="-2"/>
          <w:sz w:val="18"/>
        </w:rPr>
        <w:t xml:space="preserve">(prozessuale Taten </w:t>
      </w:r>
      <w:proofErr w:type="spellStart"/>
      <w:r w:rsidR="005436FB">
        <w:rPr>
          <w:rFonts w:ascii="Times New Roman" w:hAnsi="Times New Roman"/>
          <w:spacing w:val="-2"/>
          <w:sz w:val="18"/>
        </w:rPr>
        <w:t>i</w:t>
      </w:r>
      <w:r w:rsidR="009D1149">
        <w:rPr>
          <w:rFonts w:ascii="Times New Roman" w:hAnsi="Times New Roman"/>
          <w:spacing w:val="-2"/>
          <w:sz w:val="18"/>
        </w:rPr>
        <w:t>.</w:t>
      </w:r>
      <w:r w:rsidR="005436FB">
        <w:rPr>
          <w:rFonts w:ascii="Times New Roman" w:hAnsi="Times New Roman"/>
          <w:spacing w:val="-2"/>
          <w:sz w:val="18"/>
        </w:rPr>
        <w:t>S</w:t>
      </w:r>
      <w:r w:rsidR="009D1149">
        <w:rPr>
          <w:rFonts w:ascii="Times New Roman" w:hAnsi="Times New Roman"/>
          <w:spacing w:val="-2"/>
          <w:sz w:val="18"/>
        </w:rPr>
        <w:t>.</w:t>
      </w:r>
      <w:r w:rsidR="005436FB">
        <w:rPr>
          <w:rFonts w:ascii="Times New Roman" w:hAnsi="Times New Roman"/>
          <w:spacing w:val="-2"/>
          <w:sz w:val="18"/>
        </w:rPr>
        <w:t>d</w:t>
      </w:r>
      <w:proofErr w:type="spellEnd"/>
      <w:r w:rsidR="009D1149">
        <w:rPr>
          <w:rFonts w:ascii="Times New Roman" w:hAnsi="Times New Roman"/>
          <w:spacing w:val="-2"/>
          <w:sz w:val="18"/>
        </w:rPr>
        <w:t>.</w:t>
      </w:r>
      <w:r w:rsidR="005436FB">
        <w:rPr>
          <w:rFonts w:ascii="Times New Roman" w:hAnsi="Times New Roman"/>
          <w:spacing w:val="-2"/>
          <w:sz w:val="18"/>
        </w:rPr>
        <w:t xml:space="preserve"> § 264 StPO) </w:t>
      </w:r>
      <w:r>
        <w:rPr>
          <w:rFonts w:ascii="Times New Roman" w:hAnsi="Times New Roman"/>
          <w:spacing w:val="-2"/>
          <w:sz w:val="18"/>
        </w:rPr>
        <w:t>äußert.</w:t>
      </w:r>
    </w:p>
    <w:p w14:paraId="20175479" w14:textId="77777777" w:rsidR="00AC58B6" w:rsidRDefault="00924427" w:rsidP="00AC58B6">
      <w:pPr>
        <w:widowControl/>
        <w:tabs>
          <w:tab w:val="left" w:pos="-720"/>
          <w:tab w:val="left" w:pos="284"/>
          <w:tab w:val="left" w:pos="567"/>
          <w:tab w:val="left" w:pos="864"/>
          <w:tab w:val="left" w:pos="1116"/>
          <w:tab w:val="left" w:pos="1404"/>
          <w:tab w:val="left" w:pos="1692"/>
          <w:tab w:val="left" w:pos="1980"/>
          <w:tab w:val="left" w:pos="2268"/>
          <w:tab w:val="left" w:pos="2880"/>
        </w:tabs>
        <w:ind w:left="567" w:hanging="283"/>
        <w:jc w:val="both"/>
        <w:rPr>
          <w:rFonts w:ascii="Times New Roman" w:hAnsi="Times New Roman"/>
          <w:spacing w:val="-2"/>
          <w:sz w:val="18"/>
        </w:rPr>
      </w:pPr>
      <w:r>
        <w:rPr>
          <w:rFonts w:ascii="Times New Roman" w:hAnsi="Times New Roman"/>
          <w:spacing w:val="-2"/>
          <w:sz w:val="18"/>
          <w:u w:val="single"/>
        </w:rPr>
        <w:t>3</w:t>
      </w:r>
      <w:r w:rsidR="00AC58B6" w:rsidRPr="00410083">
        <w:rPr>
          <w:rFonts w:ascii="Times New Roman" w:hAnsi="Times New Roman"/>
          <w:spacing w:val="-2"/>
          <w:sz w:val="18"/>
          <w:u w:val="single"/>
        </w:rPr>
        <w:t xml:space="preserve">. </w:t>
      </w:r>
      <w:r w:rsidR="00AC58B6">
        <w:rPr>
          <w:rFonts w:ascii="Times New Roman" w:hAnsi="Times New Roman"/>
          <w:spacing w:val="-2"/>
          <w:sz w:val="18"/>
          <w:u w:val="single"/>
        </w:rPr>
        <w:tab/>
      </w:r>
      <w:r w:rsidR="00AC58B6" w:rsidRPr="00410083">
        <w:rPr>
          <w:rFonts w:ascii="Times New Roman" w:hAnsi="Times New Roman"/>
          <w:spacing w:val="-2"/>
          <w:sz w:val="18"/>
          <w:u w:val="single"/>
        </w:rPr>
        <w:t>Geltendmachung des Aussageverweigerungsrecht</w:t>
      </w:r>
      <w:r w:rsidR="00AC58B6">
        <w:rPr>
          <w:rFonts w:ascii="Times New Roman" w:hAnsi="Times New Roman"/>
          <w:spacing w:val="-2"/>
          <w:sz w:val="18"/>
        </w:rPr>
        <w:t>, § 55 StPO, im Vorprozess.</w:t>
      </w:r>
    </w:p>
    <w:p w14:paraId="2088C5E5" w14:textId="08BE4ED4" w:rsidR="00AC58B6" w:rsidRDefault="00924427" w:rsidP="00297A2E">
      <w:pPr>
        <w:widowControl/>
        <w:tabs>
          <w:tab w:val="left" w:pos="-720"/>
          <w:tab w:val="left" w:pos="284"/>
          <w:tab w:val="left" w:pos="567"/>
          <w:tab w:val="left" w:pos="864"/>
          <w:tab w:val="left" w:pos="1116"/>
          <w:tab w:val="left" w:pos="1404"/>
          <w:tab w:val="left" w:pos="1692"/>
          <w:tab w:val="left" w:pos="1980"/>
          <w:tab w:val="left" w:pos="2268"/>
          <w:tab w:val="left" w:pos="2880"/>
        </w:tabs>
        <w:ind w:left="567" w:hanging="283"/>
        <w:jc w:val="both"/>
        <w:rPr>
          <w:rFonts w:ascii="Times New Roman" w:hAnsi="Times New Roman"/>
          <w:spacing w:val="-2"/>
          <w:sz w:val="18"/>
        </w:rPr>
      </w:pPr>
      <w:r>
        <w:rPr>
          <w:rFonts w:ascii="Times New Roman" w:hAnsi="Times New Roman"/>
          <w:spacing w:val="-2"/>
          <w:sz w:val="18"/>
          <w:u w:val="single"/>
        </w:rPr>
        <w:t>4</w:t>
      </w:r>
      <w:r w:rsidR="00AC58B6" w:rsidRPr="00410083">
        <w:rPr>
          <w:rFonts w:ascii="Times New Roman" w:hAnsi="Times New Roman"/>
          <w:spacing w:val="-2"/>
          <w:sz w:val="18"/>
          <w:u w:val="single"/>
        </w:rPr>
        <w:t xml:space="preserve">. </w:t>
      </w:r>
      <w:r w:rsidR="00AC58B6">
        <w:rPr>
          <w:rFonts w:ascii="Times New Roman" w:hAnsi="Times New Roman"/>
          <w:spacing w:val="-2"/>
          <w:sz w:val="18"/>
          <w:u w:val="single"/>
        </w:rPr>
        <w:tab/>
      </w:r>
      <w:r w:rsidR="00AC58B6" w:rsidRPr="00410083">
        <w:rPr>
          <w:rFonts w:ascii="Times New Roman" w:hAnsi="Times New Roman"/>
          <w:spacing w:val="-2"/>
          <w:sz w:val="18"/>
          <w:u w:val="single"/>
        </w:rPr>
        <w:t>Verspätete Stellung eines (entlastenden) Beweisantrages</w:t>
      </w:r>
    </w:p>
    <w:p w14:paraId="3A1CA567" w14:textId="77777777" w:rsidR="00AC58B6" w:rsidRDefault="00AC58B6" w:rsidP="00AC58B6">
      <w:pPr>
        <w:widowControl/>
        <w:tabs>
          <w:tab w:val="left" w:pos="-720"/>
          <w:tab w:val="left" w:pos="284"/>
          <w:tab w:val="left" w:pos="567"/>
          <w:tab w:val="left" w:pos="1116"/>
          <w:tab w:val="left" w:pos="1404"/>
          <w:tab w:val="left" w:pos="1692"/>
          <w:tab w:val="left" w:pos="1980"/>
          <w:tab w:val="left" w:pos="2268"/>
          <w:tab w:val="left" w:pos="2880"/>
        </w:tabs>
        <w:ind w:left="567" w:hanging="283"/>
        <w:jc w:val="both"/>
        <w:rPr>
          <w:rFonts w:ascii="Times New Roman" w:hAnsi="Times New Roman"/>
          <w:spacing w:val="-2"/>
          <w:sz w:val="18"/>
        </w:rPr>
      </w:pPr>
      <w:r w:rsidRPr="00410083">
        <w:rPr>
          <w:rFonts w:ascii="Times New Roman" w:hAnsi="Times New Roman"/>
          <w:spacing w:val="-2"/>
          <w:sz w:val="18"/>
          <w:u w:val="single"/>
        </w:rPr>
        <w:t xml:space="preserve">5. </w:t>
      </w:r>
      <w:r>
        <w:rPr>
          <w:rFonts w:ascii="Times New Roman" w:hAnsi="Times New Roman"/>
          <w:spacing w:val="-2"/>
          <w:sz w:val="18"/>
          <w:u w:val="single"/>
        </w:rPr>
        <w:tab/>
      </w:r>
      <w:r w:rsidRPr="00410083">
        <w:rPr>
          <w:rFonts w:ascii="Times New Roman" w:hAnsi="Times New Roman"/>
          <w:spacing w:val="-2"/>
          <w:sz w:val="18"/>
          <w:u w:val="single"/>
        </w:rPr>
        <w:t>Ausnahme: Widersprüchliche Angaben:</w:t>
      </w:r>
      <w:r>
        <w:rPr>
          <w:rFonts w:ascii="Times New Roman" w:hAnsi="Times New Roman"/>
          <w:spacing w:val="-2"/>
          <w:sz w:val="18"/>
        </w:rPr>
        <w:t xml:space="preserve"> Macht der Beschuldigte im Ermittlungsverfahren umfangreiche, geständige Angaben, die später in der Hauptverhandlung widerrufen werden, kann dies negativ in die Beweiswürdigung miteinfließen.</w:t>
      </w:r>
    </w:p>
    <w:p w14:paraId="780237A2" w14:textId="77777777" w:rsidR="00AC58B6" w:rsidRPr="00754051" w:rsidRDefault="00AC58B6" w:rsidP="00754051">
      <w:pPr>
        <w:widowControl/>
        <w:tabs>
          <w:tab w:val="left" w:pos="-720"/>
          <w:tab w:val="left" w:pos="284"/>
          <w:tab w:val="left" w:pos="576"/>
          <w:tab w:val="left" w:pos="864"/>
          <w:tab w:val="left" w:pos="1116"/>
          <w:tab w:val="left" w:pos="1404"/>
          <w:tab w:val="left" w:pos="1692"/>
          <w:tab w:val="left" w:pos="1980"/>
          <w:tab w:val="left" w:pos="2268"/>
          <w:tab w:val="left" w:pos="2880"/>
        </w:tabs>
        <w:spacing w:line="136" w:lineRule="exact"/>
        <w:ind w:left="567" w:hanging="567"/>
        <w:jc w:val="both"/>
        <w:rPr>
          <w:rFonts w:ascii="Times New Roman" w:hAnsi="Times New Roman"/>
          <w:spacing w:val="-2"/>
          <w:sz w:val="13"/>
          <w:szCs w:val="13"/>
        </w:rPr>
      </w:pPr>
    </w:p>
    <w:p w14:paraId="081D2C2E" w14:textId="50DC44E9" w:rsidR="00AC58B6" w:rsidRPr="00754051" w:rsidRDefault="00AC58B6" w:rsidP="00FD26E1">
      <w:pPr>
        <w:widowControl/>
        <w:tabs>
          <w:tab w:val="left" w:pos="-720"/>
          <w:tab w:val="left" w:pos="0"/>
          <w:tab w:val="left" w:pos="288"/>
          <w:tab w:val="left" w:pos="576"/>
          <w:tab w:val="left" w:pos="864"/>
          <w:tab w:val="left" w:pos="1116"/>
          <w:tab w:val="left" w:pos="1404"/>
          <w:tab w:val="left" w:pos="1560"/>
          <w:tab w:val="left" w:pos="2268"/>
          <w:tab w:val="left" w:pos="2880"/>
        </w:tabs>
        <w:spacing w:line="144" w:lineRule="exact"/>
        <w:ind w:left="1559" w:hanging="1559"/>
        <w:jc w:val="both"/>
        <w:rPr>
          <w:rFonts w:ascii="Times New Roman" w:hAnsi="Times New Roman"/>
          <w:i/>
          <w:spacing w:val="-2"/>
          <w:sz w:val="13"/>
          <w:szCs w:val="13"/>
        </w:rPr>
      </w:pPr>
      <w:r w:rsidRPr="00754051">
        <w:rPr>
          <w:rFonts w:ascii="Times New Roman" w:hAnsi="Times New Roman"/>
          <w:b/>
          <w:spacing w:val="-2"/>
          <w:sz w:val="13"/>
          <w:szCs w:val="13"/>
        </w:rPr>
        <w:t xml:space="preserve">Literatur/Lehrbücher: </w:t>
      </w:r>
      <w:r w:rsidR="0077644C" w:rsidRPr="00754051">
        <w:rPr>
          <w:rFonts w:ascii="Times New Roman" w:hAnsi="Times New Roman"/>
          <w:b/>
          <w:spacing w:val="-2"/>
          <w:sz w:val="13"/>
          <w:szCs w:val="13"/>
        </w:rPr>
        <w:tab/>
      </w:r>
      <w:r w:rsidR="00512CA4" w:rsidRPr="00754051">
        <w:rPr>
          <w:rFonts w:ascii="Times New Roman" w:hAnsi="Times New Roman"/>
          <w:i/>
          <w:spacing w:val="-2"/>
          <w:sz w:val="13"/>
          <w:szCs w:val="13"/>
        </w:rPr>
        <w:t>Heinrich/Reinbacher</w:t>
      </w:r>
      <w:r w:rsidR="00512CA4" w:rsidRPr="00754051">
        <w:rPr>
          <w:rFonts w:ascii="Times New Roman" w:hAnsi="Times New Roman"/>
          <w:spacing w:val="-2"/>
          <w:sz w:val="13"/>
          <w:szCs w:val="13"/>
        </w:rPr>
        <w:t xml:space="preserve">, Examinatorium Strafprozessrecht, </w:t>
      </w:r>
      <w:r w:rsidR="0022759D">
        <w:rPr>
          <w:rFonts w:ascii="Times New Roman" w:hAnsi="Times New Roman"/>
          <w:spacing w:val="-2"/>
          <w:sz w:val="13"/>
          <w:szCs w:val="13"/>
        </w:rPr>
        <w:t>4</w:t>
      </w:r>
      <w:r w:rsidR="00FC084C" w:rsidRPr="00754051">
        <w:rPr>
          <w:rFonts w:ascii="Times New Roman" w:hAnsi="Times New Roman"/>
          <w:spacing w:val="-2"/>
          <w:sz w:val="13"/>
          <w:szCs w:val="13"/>
        </w:rPr>
        <w:t>. Auflage 20</w:t>
      </w:r>
      <w:r w:rsidR="00A82C55" w:rsidRPr="00754051">
        <w:rPr>
          <w:rFonts w:ascii="Times New Roman" w:hAnsi="Times New Roman"/>
          <w:spacing w:val="-2"/>
          <w:sz w:val="13"/>
          <w:szCs w:val="13"/>
        </w:rPr>
        <w:t>2</w:t>
      </w:r>
      <w:r w:rsidR="0022759D">
        <w:rPr>
          <w:rFonts w:ascii="Times New Roman" w:hAnsi="Times New Roman"/>
          <w:spacing w:val="-2"/>
          <w:sz w:val="13"/>
          <w:szCs w:val="13"/>
        </w:rPr>
        <w:t>3</w:t>
      </w:r>
      <w:r w:rsidR="00FC084C" w:rsidRPr="00754051">
        <w:rPr>
          <w:rFonts w:ascii="Times New Roman" w:hAnsi="Times New Roman"/>
          <w:spacing w:val="-2"/>
          <w:sz w:val="13"/>
          <w:szCs w:val="13"/>
        </w:rPr>
        <w:t xml:space="preserve">, </w:t>
      </w:r>
      <w:r w:rsidR="00512CA4" w:rsidRPr="00754051">
        <w:rPr>
          <w:rFonts w:ascii="Times New Roman" w:hAnsi="Times New Roman"/>
          <w:spacing w:val="-2"/>
          <w:sz w:val="13"/>
          <w:szCs w:val="13"/>
        </w:rPr>
        <w:t>Problem</w:t>
      </w:r>
      <w:r w:rsidR="009D1149">
        <w:rPr>
          <w:rFonts w:ascii="Times New Roman" w:hAnsi="Times New Roman"/>
          <w:spacing w:val="-2"/>
          <w:sz w:val="13"/>
          <w:szCs w:val="13"/>
        </w:rPr>
        <w:t> </w:t>
      </w:r>
      <w:r w:rsidR="00512CA4" w:rsidRPr="00754051">
        <w:rPr>
          <w:rFonts w:ascii="Times New Roman" w:hAnsi="Times New Roman"/>
          <w:spacing w:val="-2"/>
          <w:sz w:val="13"/>
          <w:szCs w:val="13"/>
        </w:rPr>
        <w:t>39.</w:t>
      </w:r>
    </w:p>
    <w:p w14:paraId="62348A98" w14:textId="6991A066" w:rsidR="00AC58B6" w:rsidRPr="00754051" w:rsidRDefault="00AC58B6" w:rsidP="006D5D3D">
      <w:pPr>
        <w:widowControl/>
        <w:tabs>
          <w:tab w:val="left" w:pos="0"/>
          <w:tab w:val="left" w:pos="288"/>
          <w:tab w:val="left" w:pos="576"/>
          <w:tab w:val="left" w:pos="864"/>
          <w:tab w:val="left" w:pos="1116"/>
          <w:tab w:val="left" w:pos="1404"/>
          <w:tab w:val="left" w:pos="1560"/>
          <w:tab w:val="left" w:pos="2268"/>
          <w:tab w:val="left" w:pos="2880"/>
          <w:tab w:val="left" w:pos="9498"/>
        </w:tabs>
        <w:spacing w:line="144" w:lineRule="exact"/>
        <w:ind w:left="1400" w:hanging="1400"/>
        <w:jc w:val="both"/>
        <w:rPr>
          <w:rFonts w:ascii="Times New Roman" w:hAnsi="Times New Roman"/>
          <w:spacing w:val="-2"/>
          <w:sz w:val="13"/>
          <w:szCs w:val="13"/>
        </w:rPr>
      </w:pPr>
      <w:r w:rsidRPr="00754051">
        <w:rPr>
          <w:rFonts w:ascii="Times New Roman" w:hAnsi="Times New Roman"/>
          <w:b/>
          <w:spacing w:val="-2"/>
          <w:sz w:val="13"/>
          <w:szCs w:val="13"/>
        </w:rPr>
        <w:t>Literatur/Aufsätze:</w:t>
      </w:r>
      <w:r w:rsidRPr="00754051">
        <w:rPr>
          <w:rFonts w:ascii="Times New Roman" w:hAnsi="Times New Roman"/>
          <w:b/>
          <w:spacing w:val="-2"/>
          <w:sz w:val="13"/>
          <w:szCs w:val="13"/>
        </w:rPr>
        <w:tab/>
      </w:r>
      <w:r w:rsidRPr="00754051">
        <w:rPr>
          <w:rFonts w:ascii="Times New Roman" w:hAnsi="Times New Roman"/>
          <w:b/>
          <w:spacing w:val="-2"/>
          <w:sz w:val="13"/>
          <w:szCs w:val="13"/>
        </w:rPr>
        <w:tab/>
      </w:r>
      <w:r w:rsidRPr="00754051">
        <w:rPr>
          <w:rFonts w:ascii="Times New Roman" w:hAnsi="Times New Roman"/>
          <w:i/>
          <w:spacing w:val="-2"/>
          <w:sz w:val="13"/>
          <w:szCs w:val="13"/>
        </w:rPr>
        <w:t>Fahl</w:t>
      </w:r>
      <w:r w:rsidRPr="00754051">
        <w:rPr>
          <w:rFonts w:ascii="Times New Roman" w:hAnsi="Times New Roman"/>
          <w:spacing w:val="-2"/>
          <w:sz w:val="13"/>
          <w:szCs w:val="13"/>
        </w:rPr>
        <w:t xml:space="preserve">, In dubio pro reo, JA 1999, 925; </w:t>
      </w:r>
      <w:r w:rsidRPr="00754051">
        <w:rPr>
          <w:rFonts w:ascii="Times New Roman" w:hAnsi="Times New Roman"/>
          <w:i/>
          <w:spacing w:val="-2"/>
          <w:sz w:val="13"/>
          <w:szCs w:val="13"/>
        </w:rPr>
        <w:t>Geppert</w:t>
      </w:r>
      <w:r w:rsidRPr="00754051">
        <w:rPr>
          <w:rFonts w:ascii="Times New Roman" w:hAnsi="Times New Roman"/>
          <w:spacing w:val="-2"/>
          <w:sz w:val="13"/>
          <w:szCs w:val="13"/>
        </w:rPr>
        <w:t xml:space="preserve">, Der Grundsatz der freien Beweiswürdigung (§ 261 StPO), JURA 2004, 105; </w:t>
      </w:r>
      <w:proofErr w:type="spellStart"/>
      <w:r w:rsidRPr="00754051">
        <w:rPr>
          <w:rFonts w:ascii="Times New Roman" w:hAnsi="Times New Roman"/>
          <w:i/>
          <w:spacing w:val="-2"/>
          <w:sz w:val="13"/>
          <w:szCs w:val="13"/>
        </w:rPr>
        <w:t>Hanack</w:t>
      </w:r>
      <w:proofErr w:type="spellEnd"/>
      <w:r w:rsidRPr="00754051">
        <w:rPr>
          <w:rFonts w:ascii="Times New Roman" w:hAnsi="Times New Roman"/>
          <w:spacing w:val="-2"/>
          <w:sz w:val="13"/>
          <w:szCs w:val="13"/>
        </w:rPr>
        <w:t>, Maßstäbe und Grenzen richterlicher</w:t>
      </w:r>
      <w:r w:rsidR="00043087">
        <w:rPr>
          <w:rFonts w:ascii="Times New Roman" w:hAnsi="Times New Roman"/>
          <w:spacing w:val="-2"/>
          <w:sz w:val="13"/>
          <w:szCs w:val="13"/>
        </w:rPr>
        <w:t xml:space="preserve"> </w:t>
      </w:r>
      <w:r w:rsidRPr="00754051">
        <w:rPr>
          <w:rFonts w:ascii="Times New Roman" w:hAnsi="Times New Roman"/>
          <w:spacing w:val="-2"/>
          <w:sz w:val="13"/>
          <w:szCs w:val="13"/>
        </w:rPr>
        <w:t xml:space="preserve">Überzeugungsbildung im </w:t>
      </w:r>
      <w:proofErr w:type="spellStart"/>
      <w:r w:rsidRPr="00754051">
        <w:rPr>
          <w:rFonts w:ascii="Times New Roman" w:hAnsi="Times New Roman"/>
          <w:spacing w:val="-2"/>
          <w:sz w:val="13"/>
          <w:szCs w:val="13"/>
        </w:rPr>
        <w:t>Strafprozeß</w:t>
      </w:r>
      <w:proofErr w:type="spellEnd"/>
      <w:r w:rsidRPr="00754051">
        <w:rPr>
          <w:rFonts w:ascii="Times New Roman" w:hAnsi="Times New Roman"/>
          <w:spacing w:val="-2"/>
          <w:sz w:val="13"/>
          <w:szCs w:val="13"/>
        </w:rPr>
        <w:t xml:space="preserve">, </w:t>
      </w:r>
      <w:proofErr w:type="spellStart"/>
      <w:r w:rsidRPr="00754051">
        <w:rPr>
          <w:rFonts w:ascii="Times New Roman" w:hAnsi="Times New Roman"/>
          <w:spacing w:val="-2"/>
          <w:sz w:val="13"/>
          <w:szCs w:val="13"/>
        </w:rPr>
        <w:t>JuS</w:t>
      </w:r>
      <w:proofErr w:type="spellEnd"/>
      <w:r w:rsidRPr="00754051">
        <w:rPr>
          <w:rFonts w:ascii="Times New Roman" w:hAnsi="Times New Roman"/>
          <w:spacing w:val="-2"/>
          <w:sz w:val="13"/>
          <w:szCs w:val="13"/>
        </w:rPr>
        <w:t xml:space="preserve"> 1977, 727; </w:t>
      </w:r>
      <w:r w:rsidRPr="00754051">
        <w:rPr>
          <w:rFonts w:ascii="Times New Roman" w:hAnsi="Times New Roman"/>
          <w:i/>
          <w:spacing w:val="-2"/>
          <w:sz w:val="13"/>
          <w:szCs w:val="13"/>
        </w:rPr>
        <w:t>Kühl</w:t>
      </w:r>
      <w:r w:rsidRPr="00754051">
        <w:rPr>
          <w:rFonts w:ascii="Times New Roman" w:hAnsi="Times New Roman"/>
          <w:spacing w:val="-2"/>
          <w:sz w:val="13"/>
          <w:szCs w:val="13"/>
        </w:rPr>
        <w:t xml:space="preserve">, Freie Beweiswürdigung des Schweigens des Angeklagten und der Untersuchungsverweigerung eines </w:t>
      </w:r>
      <w:proofErr w:type="spellStart"/>
      <w:r w:rsidRPr="00754051">
        <w:rPr>
          <w:rFonts w:ascii="Times New Roman" w:hAnsi="Times New Roman"/>
          <w:spacing w:val="-2"/>
          <w:sz w:val="13"/>
          <w:szCs w:val="13"/>
        </w:rPr>
        <w:t>angehörigen</w:t>
      </w:r>
      <w:proofErr w:type="spellEnd"/>
      <w:r w:rsidRPr="00754051">
        <w:rPr>
          <w:rFonts w:ascii="Times New Roman" w:hAnsi="Times New Roman"/>
          <w:spacing w:val="-2"/>
          <w:sz w:val="13"/>
          <w:szCs w:val="13"/>
        </w:rPr>
        <w:t xml:space="preserve"> Zeugen, </w:t>
      </w:r>
      <w:proofErr w:type="spellStart"/>
      <w:r w:rsidRPr="00754051">
        <w:rPr>
          <w:rFonts w:ascii="Times New Roman" w:hAnsi="Times New Roman"/>
          <w:spacing w:val="-2"/>
          <w:sz w:val="13"/>
          <w:szCs w:val="13"/>
        </w:rPr>
        <w:t>JuS</w:t>
      </w:r>
      <w:proofErr w:type="spellEnd"/>
      <w:r w:rsidRPr="00754051">
        <w:rPr>
          <w:rFonts w:ascii="Times New Roman" w:hAnsi="Times New Roman"/>
          <w:spacing w:val="-2"/>
          <w:sz w:val="13"/>
          <w:szCs w:val="13"/>
        </w:rPr>
        <w:t xml:space="preserve"> 1986, 115</w:t>
      </w:r>
      <w:r w:rsidR="00193553" w:rsidRPr="00754051">
        <w:rPr>
          <w:rFonts w:ascii="Times New Roman" w:hAnsi="Times New Roman"/>
          <w:spacing w:val="-2"/>
          <w:sz w:val="13"/>
          <w:szCs w:val="13"/>
        </w:rPr>
        <w:t xml:space="preserve">; </w:t>
      </w:r>
      <w:r w:rsidR="00A82C55" w:rsidRPr="00754051">
        <w:rPr>
          <w:rFonts w:ascii="Times New Roman" w:hAnsi="Times New Roman"/>
          <w:i/>
          <w:spacing w:val="-2"/>
          <w:sz w:val="13"/>
          <w:szCs w:val="13"/>
        </w:rPr>
        <w:t>Miebach</w:t>
      </w:r>
      <w:r w:rsidR="00A82C55" w:rsidRPr="00754051">
        <w:rPr>
          <w:rFonts w:ascii="Times New Roman" w:hAnsi="Times New Roman"/>
          <w:spacing w:val="-2"/>
          <w:sz w:val="13"/>
          <w:szCs w:val="13"/>
        </w:rPr>
        <w:t xml:space="preserve">, Die freie Beweiswürdigung der Zeugenaussage in der neueren Rechtsprechung des BGH, NStZ-RR 2014, 233; </w:t>
      </w:r>
      <w:proofErr w:type="spellStart"/>
      <w:r w:rsidR="00A82C55" w:rsidRPr="00754051">
        <w:rPr>
          <w:rFonts w:ascii="Times New Roman" w:hAnsi="Times New Roman"/>
          <w:i/>
          <w:spacing w:val="-2"/>
          <w:sz w:val="13"/>
          <w:szCs w:val="13"/>
        </w:rPr>
        <w:t>ders</w:t>
      </w:r>
      <w:proofErr w:type="spellEnd"/>
      <w:r w:rsidR="00A82C55" w:rsidRPr="00754051">
        <w:rPr>
          <w:rFonts w:ascii="Times New Roman" w:hAnsi="Times New Roman"/>
          <w:i/>
          <w:spacing w:val="-2"/>
          <w:sz w:val="13"/>
          <w:szCs w:val="13"/>
        </w:rPr>
        <w:t>.</w:t>
      </w:r>
      <w:r w:rsidR="00A82C55" w:rsidRPr="00754051">
        <w:rPr>
          <w:rFonts w:ascii="Times New Roman" w:hAnsi="Times New Roman"/>
          <w:spacing w:val="-2"/>
          <w:sz w:val="13"/>
          <w:szCs w:val="13"/>
        </w:rPr>
        <w:t xml:space="preserve">, Die Verteidigung des schweigenden Angeklagten, NStZ 2019, 318; </w:t>
      </w:r>
      <w:proofErr w:type="spellStart"/>
      <w:r w:rsidR="00A82C55" w:rsidRPr="00754051">
        <w:rPr>
          <w:rFonts w:ascii="Times New Roman" w:hAnsi="Times New Roman"/>
          <w:i/>
          <w:spacing w:val="-2"/>
          <w:sz w:val="13"/>
          <w:szCs w:val="13"/>
        </w:rPr>
        <w:t>ders</w:t>
      </w:r>
      <w:proofErr w:type="spellEnd"/>
      <w:r w:rsidR="00A82C55" w:rsidRPr="00754051">
        <w:rPr>
          <w:rFonts w:ascii="Times New Roman" w:hAnsi="Times New Roman"/>
          <w:i/>
          <w:spacing w:val="-2"/>
          <w:sz w:val="13"/>
          <w:szCs w:val="13"/>
        </w:rPr>
        <w:t>.</w:t>
      </w:r>
      <w:r w:rsidR="00A82C55" w:rsidRPr="00754051">
        <w:rPr>
          <w:rFonts w:ascii="Times New Roman" w:hAnsi="Times New Roman"/>
          <w:spacing w:val="-2"/>
          <w:sz w:val="13"/>
          <w:szCs w:val="13"/>
        </w:rPr>
        <w:t xml:space="preserve">, Die freie richterliche in der neueren Rechtsprechung des BGH, NStZ 2020, 72; </w:t>
      </w:r>
      <w:r w:rsidRPr="00754051">
        <w:rPr>
          <w:rFonts w:ascii="Times New Roman" w:hAnsi="Times New Roman"/>
          <w:i/>
          <w:spacing w:val="-2"/>
          <w:sz w:val="13"/>
          <w:szCs w:val="13"/>
        </w:rPr>
        <w:t>Schneider</w:t>
      </w:r>
      <w:r w:rsidRPr="00754051">
        <w:rPr>
          <w:rFonts w:ascii="Times New Roman" w:hAnsi="Times New Roman"/>
          <w:spacing w:val="-2"/>
          <w:sz w:val="13"/>
          <w:szCs w:val="13"/>
        </w:rPr>
        <w:t>, Die strafprozessuale Beweiswürdigung des Schweigens von Beschuldigten und angehörigen Zeugen, JURA 1990, 572</w:t>
      </w:r>
      <w:r w:rsidR="00663414">
        <w:rPr>
          <w:rFonts w:ascii="Times New Roman" w:hAnsi="Times New Roman"/>
          <w:spacing w:val="-2"/>
          <w:sz w:val="13"/>
          <w:szCs w:val="13"/>
        </w:rPr>
        <w:t xml:space="preserve">; </w:t>
      </w:r>
      <w:proofErr w:type="spellStart"/>
      <w:r w:rsidR="00663414" w:rsidRPr="00C143A8">
        <w:rPr>
          <w:rFonts w:ascii="Times New Roman" w:hAnsi="Times New Roman"/>
          <w:i/>
          <w:spacing w:val="-2"/>
          <w:sz w:val="13"/>
          <w:szCs w:val="13"/>
        </w:rPr>
        <w:t>Zeyher</w:t>
      </w:r>
      <w:proofErr w:type="spellEnd"/>
      <w:r w:rsidR="00663414">
        <w:rPr>
          <w:rFonts w:ascii="Times New Roman" w:hAnsi="Times New Roman"/>
          <w:spacing w:val="-2"/>
          <w:sz w:val="13"/>
          <w:szCs w:val="13"/>
        </w:rPr>
        <w:t>, Grundsätze der Verwertbarkeit der von Privaten beschafften Beweismittel im Strafprozess. JA 2022, 467.</w:t>
      </w:r>
    </w:p>
    <w:p w14:paraId="14B5D7AB" w14:textId="1B514FA0" w:rsidR="00AC58B6" w:rsidRPr="00754051" w:rsidRDefault="00AC58B6" w:rsidP="006D5D3D">
      <w:pPr>
        <w:widowControl/>
        <w:tabs>
          <w:tab w:val="left" w:pos="-720"/>
          <w:tab w:val="left" w:pos="0"/>
          <w:tab w:val="left" w:pos="288"/>
          <w:tab w:val="left" w:pos="576"/>
          <w:tab w:val="left" w:pos="864"/>
          <w:tab w:val="left" w:pos="1116"/>
          <w:tab w:val="left" w:pos="1404"/>
          <w:tab w:val="left" w:pos="1560"/>
          <w:tab w:val="left" w:pos="2268"/>
          <w:tab w:val="left" w:pos="2880"/>
        </w:tabs>
        <w:spacing w:line="144" w:lineRule="exact"/>
        <w:ind w:left="1400" w:hanging="1400"/>
        <w:jc w:val="both"/>
        <w:rPr>
          <w:rFonts w:ascii="Times New Roman" w:hAnsi="Times New Roman"/>
          <w:spacing w:val="-2"/>
          <w:sz w:val="13"/>
          <w:szCs w:val="13"/>
        </w:rPr>
      </w:pPr>
      <w:r w:rsidRPr="00754051">
        <w:rPr>
          <w:rFonts w:ascii="Times New Roman" w:hAnsi="Times New Roman"/>
          <w:b/>
          <w:spacing w:val="-2"/>
          <w:sz w:val="13"/>
          <w:szCs w:val="13"/>
        </w:rPr>
        <w:t>Rechtsprechung:</w:t>
      </w:r>
      <w:r w:rsidRPr="00754051">
        <w:rPr>
          <w:rFonts w:ascii="Times New Roman" w:hAnsi="Times New Roman"/>
          <w:b/>
          <w:spacing w:val="-2"/>
          <w:sz w:val="13"/>
          <w:szCs w:val="13"/>
        </w:rPr>
        <w:tab/>
      </w:r>
      <w:r w:rsidRPr="00754051">
        <w:rPr>
          <w:rFonts w:ascii="Times New Roman" w:hAnsi="Times New Roman"/>
          <w:b/>
          <w:spacing w:val="-2"/>
          <w:sz w:val="13"/>
          <w:szCs w:val="13"/>
        </w:rPr>
        <w:tab/>
        <w:t xml:space="preserve">BGHSt 6, 70 </w:t>
      </w:r>
      <w:r w:rsidRPr="00754051">
        <w:rPr>
          <w:rFonts w:ascii="Times New Roman" w:hAnsi="Times New Roman"/>
          <w:spacing w:val="-2"/>
          <w:sz w:val="13"/>
          <w:szCs w:val="13"/>
        </w:rPr>
        <w:t>– Vaterschaftstest (Bindung an wiss</w:t>
      </w:r>
      <w:r w:rsidR="009C7807">
        <w:rPr>
          <w:rFonts w:ascii="Times New Roman" w:hAnsi="Times New Roman"/>
          <w:spacing w:val="-2"/>
          <w:sz w:val="13"/>
          <w:szCs w:val="13"/>
        </w:rPr>
        <w:t>.</w:t>
      </w:r>
      <w:r w:rsidRPr="00754051">
        <w:rPr>
          <w:rFonts w:ascii="Times New Roman" w:hAnsi="Times New Roman"/>
          <w:spacing w:val="-2"/>
          <w:sz w:val="13"/>
          <w:szCs w:val="13"/>
        </w:rPr>
        <w:t xml:space="preserve"> Erkenntnisse); </w:t>
      </w:r>
      <w:r w:rsidRPr="00754051">
        <w:rPr>
          <w:rFonts w:ascii="Times New Roman" w:hAnsi="Times New Roman"/>
          <w:b/>
          <w:spacing w:val="-2"/>
          <w:sz w:val="13"/>
          <w:szCs w:val="13"/>
        </w:rPr>
        <w:t xml:space="preserve">BGHSt 10, 208 </w:t>
      </w:r>
      <w:r w:rsidRPr="00754051">
        <w:rPr>
          <w:rFonts w:ascii="Times New Roman" w:hAnsi="Times New Roman"/>
          <w:spacing w:val="-2"/>
          <w:sz w:val="13"/>
          <w:szCs w:val="13"/>
        </w:rPr>
        <w:t xml:space="preserve">– Ehegattenmord (Grad der Gewissheit); </w:t>
      </w:r>
      <w:r w:rsidRPr="00754051">
        <w:rPr>
          <w:rFonts w:ascii="Times New Roman" w:hAnsi="Times New Roman"/>
          <w:b/>
          <w:spacing w:val="-2"/>
          <w:sz w:val="13"/>
          <w:szCs w:val="13"/>
        </w:rPr>
        <w:t xml:space="preserve">BGHSt 20, 281 </w:t>
      </w:r>
      <w:r w:rsidRPr="00754051">
        <w:rPr>
          <w:rFonts w:ascii="Times New Roman" w:hAnsi="Times New Roman"/>
          <w:spacing w:val="-2"/>
          <w:sz w:val="13"/>
          <w:szCs w:val="13"/>
        </w:rPr>
        <w:t xml:space="preserve">– Fernsprechautomaten (zeitweises Schweigen); </w:t>
      </w:r>
      <w:r w:rsidRPr="00754051">
        <w:rPr>
          <w:rFonts w:ascii="Times New Roman" w:hAnsi="Times New Roman"/>
          <w:b/>
          <w:spacing w:val="-2"/>
          <w:sz w:val="13"/>
          <w:szCs w:val="13"/>
        </w:rPr>
        <w:t xml:space="preserve">BGHSt 20, 298 </w:t>
      </w:r>
      <w:r w:rsidRPr="00754051">
        <w:rPr>
          <w:rFonts w:ascii="Times New Roman" w:hAnsi="Times New Roman"/>
          <w:spacing w:val="-2"/>
          <w:sz w:val="13"/>
          <w:szCs w:val="13"/>
        </w:rPr>
        <w:t xml:space="preserve">– Anwaltsschweigen (Teilschweigen); </w:t>
      </w:r>
      <w:r w:rsidRPr="00754051">
        <w:rPr>
          <w:rFonts w:ascii="Times New Roman" w:hAnsi="Times New Roman"/>
          <w:b/>
          <w:spacing w:val="-2"/>
          <w:sz w:val="13"/>
          <w:szCs w:val="13"/>
        </w:rPr>
        <w:t xml:space="preserve">BGHSt 22, 113 </w:t>
      </w:r>
      <w:r w:rsidRPr="00754051">
        <w:rPr>
          <w:rFonts w:ascii="Times New Roman" w:hAnsi="Times New Roman"/>
          <w:spacing w:val="-2"/>
          <w:sz w:val="13"/>
          <w:szCs w:val="13"/>
        </w:rPr>
        <w:t xml:space="preserve">– Zuhälterei (Zeugnisverweigerungsrecht); </w:t>
      </w:r>
      <w:r w:rsidRPr="00754051">
        <w:rPr>
          <w:rFonts w:ascii="Times New Roman" w:hAnsi="Times New Roman"/>
          <w:b/>
          <w:spacing w:val="-2"/>
          <w:sz w:val="13"/>
          <w:szCs w:val="13"/>
        </w:rPr>
        <w:t xml:space="preserve">BGHSt 32, 140 </w:t>
      </w:r>
      <w:r w:rsidRPr="00754051">
        <w:rPr>
          <w:rFonts w:ascii="Times New Roman" w:hAnsi="Times New Roman"/>
          <w:spacing w:val="-2"/>
          <w:sz w:val="13"/>
          <w:szCs w:val="13"/>
        </w:rPr>
        <w:t xml:space="preserve">– Blutprobe (Mehrere Tatvorwürfe); </w:t>
      </w:r>
      <w:r w:rsidRPr="00754051">
        <w:rPr>
          <w:rFonts w:ascii="Times New Roman" w:hAnsi="Times New Roman"/>
          <w:b/>
          <w:spacing w:val="-2"/>
          <w:sz w:val="13"/>
          <w:szCs w:val="13"/>
        </w:rPr>
        <w:t xml:space="preserve">BGHSt 34, 324 </w:t>
      </w:r>
      <w:r w:rsidRPr="00754051">
        <w:rPr>
          <w:rFonts w:ascii="Times New Roman" w:hAnsi="Times New Roman"/>
          <w:spacing w:val="-2"/>
          <w:sz w:val="13"/>
          <w:szCs w:val="13"/>
        </w:rPr>
        <w:t>– Radfahrerin (Schweigen des Angekl</w:t>
      </w:r>
      <w:r w:rsidR="00020B26">
        <w:rPr>
          <w:rFonts w:ascii="Times New Roman" w:hAnsi="Times New Roman"/>
          <w:spacing w:val="-2"/>
          <w:sz w:val="13"/>
          <w:szCs w:val="13"/>
        </w:rPr>
        <w:t>.</w:t>
      </w:r>
      <w:r w:rsidRPr="00754051">
        <w:rPr>
          <w:rFonts w:ascii="Times New Roman" w:hAnsi="Times New Roman"/>
          <w:spacing w:val="-2"/>
          <w:sz w:val="13"/>
          <w:szCs w:val="13"/>
        </w:rPr>
        <w:t xml:space="preserve">); </w:t>
      </w:r>
      <w:r w:rsidRPr="00754051">
        <w:rPr>
          <w:rFonts w:ascii="Times New Roman" w:hAnsi="Times New Roman"/>
          <w:b/>
          <w:spacing w:val="-2"/>
          <w:sz w:val="13"/>
          <w:szCs w:val="13"/>
        </w:rPr>
        <w:t xml:space="preserve">BGHSt 37, 89 </w:t>
      </w:r>
      <w:r w:rsidRPr="00754051">
        <w:rPr>
          <w:rFonts w:ascii="Times New Roman" w:hAnsi="Times New Roman"/>
          <w:spacing w:val="-2"/>
          <w:sz w:val="13"/>
          <w:szCs w:val="13"/>
        </w:rPr>
        <w:t xml:space="preserve">– Alkoholwerte (allgemeingültiger Erfahrungssatz); </w:t>
      </w:r>
      <w:r w:rsidRPr="00754051">
        <w:rPr>
          <w:rFonts w:ascii="Times New Roman" w:hAnsi="Times New Roman"/>
          <w:b/>
          <w:spacing w:val="-2"/>
          <w:sz w:val="13"/>
          <w:szCs w:val="13"/>
        </w:rPr>
        <w:t xml:space="preserve">BGHSt 38, 302 </w:t>
      </w:r>
      <w:r w:rsidRPr="00754051">
        <w:rPr>
          <w:rFonts w:ascii="Times New Roman" w:hAnsi="Times New Roman"/>
          <w:spacing w:val="-2"/>
          <w:sz w:val="13"/>
          <w:szCs w:val="13"/>
        </w:rPr>
        <w:t xml:space="preserve">– Heroin (Aussageverweigerung nach § 55 StPO): </w:t>
      </w:r>
      <w:r w:rsidRPr="00754051">
        <w:rPr>
          <w:rFonts w:ascii="Times New Roman" w:hAnsi="Times New Roman"/>
          <w:b/>
          <w:spacing w:val="-2"/>
          <w:sz w:val="13"/>
          <w:szCs w:val="13"/>
        </w:rPr>
        <w:t xml:space="preserve">BGHSt 44, 256 </w:t>
      </w:r>
      <w:r w:rsidRPr="00754051">
        <w:rPr>
          <w:rFonts w:ascii="Times New Roman" w:hAnsi="Times New Roman"/>
          <w:spacing w:val="-2"/>
          <w:sz w:val="13"/>
          <w:szCs w:val="13"/>
        </w:rPr>
        <w:t xml:space="preserve">– Belastungszeuge (Grundsatz der erschöpfenden Beweiswürdigung); </w:t>
      </w:r>
      <w:r w:rsidR="00DC6FD6" w:rsidRPr="00754051">
        <w:rPr>
          <w:rFonts w:ascii="Times New Roman" w:hAnsi="Times New Roman"/>
          <w:b/>
          <w:spacing w:val="-2"/>
          <w:sz w:val="13"/>
          <w:szCs w:val="13"/>
        </w:rPr>
        <w:t xml:space="preserve">BGHSt 49, 112 </w:t>
      </w:r>
      <w:r w:rsidR="00DC6FD6" w:rsidRPr="00754051">
        <w:rPr>
          <w:rFonts w:ascii="Times New Roman" w:hAnsi="Times New Roman"/>
          <w:spacing w:val="-2"/>
          <w:sz w:val="13"/>
          <w:szCs w:val="13"/>
        </w:rPr>
        <w:t>– Afghanistanreise (staatl</w:t>
      </w:r>
      <w:r w:rsidR="00FB26AC">
        <w:rPr>
          <w:rFonts w:ascii="Times New Roman" w:hAnsi="Times New Roman"/>
          <w:spacing w:val="-2"/>
          <w:sz w:val="13"/>
          <w:szCs w:val="13"/>
        </w:rPr>
        <w:t>.</w:t>
      </w:r>
      <w:r w:rsidR="00DC6FD6" w:rsidRPr="00754051">
        <w:rPr>
          <w:rFonts w:ascii="Times New Roman" w:hAnsi="Times New Roman"/>
          <w:spacing w:val="-2"/>
          <w:sz w:val="13"/>
          <w:szCs w:val="13"/>
        </w:rPr>
        <w:t xml:space="preserve"> Sperrerklärung); </w:t>
      </w:r>
      <w:r w:rsidR="00276B90" w:rsidRPr="00754051">
        <w:rPr>
          <w:rFonts w:ascii="Times New Roman" w:hAnsi="Times New Roman"/>
          <w:b/>
          <w:spacing w:val="-2"/>
          <w:sz w:val="13"/>
          <w:szCs w:val="13"/>
        </w:rPr>
        <w:t xml:space="preserve">BGHSt 52, 78 </w:t>
      </w:r>
      <w:r w:rsidR="00276B90" w:rsidRPr="00754051">
        <w:rPr>
          <w:rFonts w:ascii="Times New Roman" w:hAnsi="Times New Roman"/>
          <w:spacing w:val="-2"/>
          <w:sz w:val="13"/>
          <w:szCs w:val="13"/>
        </w:rPr>
        <w:t xml:space="preserve">– Erpresserbande (nach „Deal“ gesondert verurteilter Belastungszeuge); </w:t>
      </w:r>
      <w:r w:rsidRPr="00754051">
        <w:rPr>
          <w:rFonts w:ascii="Times New Roman" w:hAnsi="Times New Roman"/>
          <w:b/>
          <w:spacing w:val="-2"/>
          <w:sz w:val="13"/>
          <w:szCs w:val="13"/>
        </w:rPr>
        <w:t>BGH NJW 1999, 1562</w:t>
      </w:r>
      <w:r w:rsidRPr="00754051">
        <w:rPr>
          <w:rFonts w:ascii="Times New Roman" w:hAnsi="Times New Roman"/>
          <w:spacing w:val="-2"/>
          <w:sz w:val="13"/>
          <w:szCs w:val="13"/>
        </w:rPr>
        <w:t xml:space="preserve"> – Pistazieneis (In dubio pro reo); </w:t>
      </w:r>
      <w:r w:rsidR="00EA6F55" w:rsidRPr="00754051">
        <w:rPr>
          <w:rFonts w:ascii="Times New Roman" w:hAnsi="Times New Roman"/>
          <w:b/>
          <w:spacing w:val="-2"/>
          <w:sz w:val="13"/>
          <w:szCs w:val="13"/>
        </w:rPr>
        <w:t>BGH NStZ-RR 2013, 20</w:t>
      </w:r>
      <w:r w:rsidR="00EA6F55" w:rsidRPr="00754051">
        <w:rPr>
          <w:rFonts w:ascii="Times New Roman" w:hAnsi="Times New Roman"/>
          <w:spacing w:val="-2"/>
          <w:sz w:val="13"/>
          <w:szCs w:val="13"/>
        </w:rPr>
        <w:t xml:space="preserve"> – Freispruch (Anforderungen an Beweiswürdigung)</w:t>
      </w:r>
      <w:r w:rsidR="00DC6FD6" w:rsidRPr="00754051">
        <w:rPr>
          <w:rFonts w:ascii="Times New Roman" w:hAnsi="Times New Roman"/>
          <w:spacing w:val="-2"/>
          <w:sz w:val="13"/>
          <w:szCs w:val="13"/>
        </w:rPr>
        <w:t>;</w:t>
      </w:r>
      <w:r w:rsidR="007C4562" w:rsidRPr="00754051">
        <w:rPr>
          <w:rFonts w:ascii="Times New Roman" w:hAnsi="Times New Roman"/>
          <w:spacing w:val="-2"/>
          <w:sz w:val="13"/>
          <w:szCs w:val="13"/>
        </w:rPr>
        <w:t xml:space="preserve"> </w:t>
      </w:r>
      <w:r w:rsidR="00D25870" w:rsidRPr="00754051">
        <w:rPr>
          <w:rFonts w:ascii="Times New Roman" w:hAnsi="Times New Roman"/>
          <w:b/>
          <w:spacing w:val="-2"/>
          <w:sz w:val="13"/>
          <w:szCs w:val="13"/>
        </w:rPr>
        <w:t>BGH NStZ 2013, 180</w:t>
      </w:r>
      <w:r w:rsidR="00D25870" w:rsidRPr="00754051">
        <w:rPr>
          <w:rFonts w:ascii="Times New Roman" w:hAnsi="Times New Roman"/>
          <w:spacing w:val="-2"/>
          <w:sz w:val="13"/>
          <w:szCs w:val="13"/>
        </w:rPr>
        <w:t xml:space="preserve"> – Beweiswürdigung (Abweichen vom Gutachten des Sachverständigen</w:t>
      </w:r>
      <w:r w:rsidR="00193553" w:rsidRPr="00754051">
        <w:rPr>
          <w:rFonts w:ascii="Times New Roman" w:hAnsi="Times New Roman"/>
          <w:spacing w:val="-2"/>
          <w:sz w:val="13"/>
          <w:szCs w:val="13"/>
        </w:rPr>
        <w:t xml:space="preserve"> </w:t>
      </w:r>
      <w:r w:rsidR="00E779E0">
        <w:rPr>
          <w:rFonts w:ascii="Times New Roman" w:hAnsi="Times New Roman"/>
          <w:spacing w:val="-2"/>
          <w:sz w:val="13"/>
          <w:szCs w:val="13"/>
        </w:rPr>
        <w:t>bei</w:t>
      </w:r>
      <w:r w:rsidR="00D25870" w:rsidRPr="00754051">
        <w:rPr>
          <w:rFonts w:ascii="Times New Roman" w:hAnsi="Times New Roman"/>
          <w:spacing w:val="-2"/>
          <w:sz w:val="13"/>
          <w:szCs w:val="13"/>
        </w:rPr>
        <w:t xml:space="preserve"> Aussage gegen Aussage); </w:t>
      </w:r>
      <w:r w:rsidR="00D25870" w:rsidRPr="00754051">
        <w:rPr>
          <w:rFonts w:ascii="Times New Roman" w:hAnsi="Times New Roman"/>
          <w:b/>
          <w:spacing w:val="-2"/>
          <w:sz w:val="13"/>
          <w:szCs w:val="13"/>
        </w:rPr>
        <w:t>BGH NJW 2013, 2612</w:t>
      </w:r>
      <w:r w:rsidR="00D25870" w:rsidRPr="00754051">
        <w:rPr>
          <w:rFonts w:ascii="Times New Roman" w:hAnsi="Times New Roman"/>
          <w:spacing w:val="-2"/>
          <w:sz w:val="13"/>
          <w:szCs w:val="13"/>
        </w:rPr>
        <w:t xml:space="preserve"> – Beweiswürdigung (Überzeugungsbildung bei DNA-Identifizierungsmustern); </w:t>
      </w:r>
      <w:r w:rsidR="007C4562" w:rsidRPr="00754051">
        <w:rPr>
          <w:rFonts w:ascii="Times New Roman" w:hAnsi="Times New Roman"/>
          <w:b/>
          <w:spacing w:val="-2"/>
          <w:sz w:val="13"/>
          <w:szCs w:val="13"/>
        </w:rPr>
        <w:t xml:space="preserve">BGH NStZ 2016, 59 </w:t>
      </w:r>
      <w:r w:rsidR="007C4562" w:rsidRPr="00754051">
        <w:rPr>
          <w:rFonts w:ascii="Times New Roman" w:hAnsi="Times New Roman"/>
          <w:spacing w:val="-2"/>
          <w:sz w:val="13"/>
          <w:szCs w:val="13"/>
        </w:rPr>
        <w:t>– Schweigerecht (Würdigung des zeitweisen Schweigens)</w:t>
      </w:r>
      <w:r w:rsidR="00073B1E" w:rsidRPr="00754051">
        <w:rPr>
          <w:rFonts w:ascii="Times New Roman" w:hAnsi="Times New Roman"/>
          <w:spacing w:val="-2"/>
          <w:sz w:val="13"/>
          <w:szCs w:val="13"/>
        </w:rPr>
        <w:t xml:space="preserve">; </w:t>
      </w:r>
      <w:r w:rsidR="00754051" w:rsidRPr="00754051">
        <w:rPr>
          <w:rFonts w:ascii="Times New Roman" w:hAnsi="Times New Roman"/>
          <w:b/>
          <w:spacing w:val="-2"/>
          <w:sz w:val="13"/>
          <w:szCs w:val="13"/>
        </w:rPr>
        <w:t>BGH NStZ 2019, 691</w:t>
      </w:r>
      <w:r w:rsidR="00754051" w:rsidRPr="00754051">
        <w:rPr>
          <w:rFonts w:ascii="Times New Roman" w:hAnsi="Times New Roman"/>
          <w:spacing w:val="-2"/>
          <w:sz w:val="13"/>
          <w:szCs w:val="13"/>
        </w:rPr>
        <w:t xml:space="preserve"> – Grundsatz der freien richterlichen Beweiswürdigung (Auseinandersetzung mit Ausführungen eines Sachverständigen bei Abweichung); </w:t>
      </w:r>
      <w:r w:rsidR="00754051" w:rsidRPr="00754051">
        <w:rPr>
          <w:rFonts w:ascii="Times New Roman" w:hAnsi="Times New Roman"/>
          <w:b/>
          <w:spacing w:val="-2"/>
          <w:sz w:val="13"/>
          <w:szCs w:val="13"/>
        </w:rPr>
        <w:t>BGH NStZ 2020, 240</w:t>
      </w:r>
      <w:r w:rsidR="00754051" w:rsidRPr="00754051">
        <w:rPr>
          <w:rFonts w:ascii="Times New Roman" w:hAnsi="Times New Roman"/>
          <w:spacing w:val="-2"/>
          <w:sz w:val="13"/>
          <w:szCs w:val="13"/>
        </w:rPr>
        <w:t xml:space="preserve"> – Gespaltene Würdigung einer Zeugenaussage (Anforderungen an die Beweiswürdigung bei lediglich teilweiser Glaubhaftigkeit der Angaben </w:t>
      </w:r>
      <w:r w:rsidR="00FD26E1">
        <w:rPr>
          <w:rFonts w:ascii="Times New Roman" w:hAnsi="Times New Roman"/>
          <w:spacing w:val="-2"/>
          <w:sz w:val="13"/>
          <w:szCs w:val="13"/>
        </w:rPr>
        <w:t xml:space="preserve">des einzigen Belastungszeugen); </w:t>
      </w:r>
      <w:r w:rsidR="00073B1E" w:rsidRPr="00754051">
        <w:rPr>
          <w:rFonts w:ascii="Times New Roman" w:hAnsi="Times New Roman"/>
          <w:b/>
          <w:spacing w:val="-2"/>
          <w:sz w:val="13"/>
          <w:szCs w:val="13"/>
        </w:rPr>
        <w:t>BGH NStZ-RR 2016, 54</w:t>
      </w:r>
      <w:r w:rsidR="00073B1E" w:rsidRPr="00754051">
        <w:rPr>
          <w:rFonts w:ascii="Times New Roman" w:hAnsi="Times New Roman"/>
          <w:spacing w:val="-2"/>
          <w:sz w:val="13"/>
          <w:szCs w:val="13"/>
        </w:rPr>
        <w:t xml:space="preserve"> – Beweiswürdigung (Anforderungen im Falle eines Freispruchs)</w:t>
      </w:r>
      <w:r w:rsidR="00A95D4B" w:rsidRPr="00754051">
        <w:rPr>
          <w:rFonts w:ascii="Times New Roman" w:hAnsi="Times New Roman"/>
          <w:spacing w:val="-2"/>
          <w:sz w:val="13"/>
          <w:szCs w:val="13"/>
        </w:rPr>
        <w:t xml:space="preserve">; </w:t>
      </w:r>
      <w:r w:rsidR="00296619" w:rsidRPr="006D5D3D">
        <w:rPr>
          <w:rFonts w:ascii="Times New Roman" w:hAnsi="Times New Roman"/>
          <w:b/>
          <w:bCs/>
          <w:spacing w:val="-2"/>
          <w:sz w:val="13"/>
          <w:szCs w:val="13"/>
        </w:rPr>
        <w:t>BGH NStZ-RR 2017, 222</w:t>
      </w:r>
      <w:r w:rsidR="00296619" w:rsidRPr="00296619">
        <w:rPr>
          <w:rFonts w:ascii="Times New Roman" w:hAnsi="Times New Roman"/>
          <w:spacing w:val="-2"/>
          <w:sz w:val="13"/>
          <w:szCs w:val="13"/>
        </w:rPr>
        <w:t xml:space="preserve"> </w:t>
      </w:r>
      <w:r w:rsidR="00296619">
        <w:rPr>
          <w:rFonts w:ascii="Times New Roman" w:hAnsi="Times New Roman"/>
          <w:spacing w:val="-2"/>
          <w:sz w:val="13"/>
          <w:szCs w:val="13"/>
        </w:rPr>
        <w:t>–</w:t>
      </w:r>
      <w:r w:rsidR="00296619" w:rsidRPr="00296619">
        <w:rPr>
          <w:rFonts w:ascii="Times New Roman" w:hAnsi="Times New Roman"/>
          <w:spacing w:val="-2"/>
          <w:sz w:val="13"/>
          <w:szCs w:val="13"/>
        </w:rPr>
        <w:t xml:space="preserve"> Beweiswürdigung </w:t>
      </w:r>
      <w:r w:rsidR="00226648">
        <w:rPr>
          <w:rFonts w:ascii="Times New Roman" w:hAnsi="Times New Roman"/>
          <w:spacing w:val="-2"/>
          <w:sz w:val="13"/>
          <w:szCs w:val="13"/>
        </w:rPr>
        <w:t>(</w:t>
      </w:r>
      <w:r w:rsidR="00296619" w:rsidRPr="00296619">
        <w:rPr>
          <w:rFonts w:ascii="Times New Roman" w:hAnsi="Times New Roman"/>
          <w:spacing w:val="-2"/>
          <w:sz w:val="13"/>
          <w:szCs w:val="13"/>
        </w:rPr>
        <w:t>Abweichung vom Sachverständigengutachten</w:t>
      </w:r>
      <w:r w:rsidR="00226648">
        <w:rPr>
          <w:rFonts w:ascii="Times New Roman" w:hAnsi="Times New Roman"/>
          <w:spacing w:val="-2"/>
          <w:sz w:val="13"/>
          <w:szCs w:val="13"/>
        </w:rPr>
        <w:t>)</w:t>
      </w:r>
      <w:r w:rsidR="00296619">
        <w:rPr>
          <w:rFonts w:ascii="Times New Roman" w:hAnsi="Times New Roman"/>
          <w:spacing w:val="-2"/>
          <w:sz w:val="13"/>
          <w:szCs w:val="13"/>
        </w:rPr>
        <w:t>;</w:t>
      </w:r>
      <w:r w:rsidR="00296619" w:rsidRPr="00296619">
        <w:rPr>
          <w:rFonts w:ascii="Times New Roman" w:hAnsi="Times New Roman"/>
          <w:spacing w:val="-2"/>
          <w:sz w:val="13"/>
          <w:szCs w:val="13"/>
        </w:rPr>
        <w:t xml:space="preserve"> </w:t>
      </w:r>
      <w:r w:rsidR="00A95D4B" w:rsidRPr="00754051">
        <w:rPr>
          <w:rFonts w:ascii="Times New Roman" w:hAnsi="Times New Roman"/>
          <w:b/>
          <w:spacing w:val="-2"/>
          <w:sz w:val="13"/>
          <w:szCs w:val="13"/>
        </w:rPr>
        <w:t xml:space="preserve">BGH NStZ-RR </w:t>
      </w:r>
      <w:r w:rsidR="00A95D4B" w:rsidRPr="00E543A5">
        <w:rPr>
          <w:rFonts w:ascii="Times New Roman" w:hAnsi="Times New Roman"/>
          <w:b/>
          <w:spacing w:val="-2"/>
          <w:sz w:val="13"/>
          <w:szCs w:val="13"/>
        </w:rPr>
        <w:t xml:space="preserve">2019, 226 </w:t>
      </w:r>
      <w:r w:rsidR="00A95D4B" w:rsidRPr="00E543A5">
        <w:rPr>
          <w:rFonts w:ascii="Times New Roman" w:hAnsi="Times New Roman"/>
          <w:spacing w:val="-2"/>
          <w:sz w:val="13"/>
          <w:szCs w:val="13"/>
        </w:rPr>
        <w:t>– Würdigung einer Zeugenaussage (Verfahrensabsprache zu Lasten Dritter</w:t>
      </w:r>
      <w:r w:rsidR="00754051" w:rsidRPr="00E543A5">
        <w:rPr>
          <w:rFonts w:ascii="Times New Roman" w:hAnsi="Times New Roman"/>
          <w:spacing w:val="-2"/>
          <w:sz w:val="13"/>
          <w:szCs w:val="13"/>
        </w:rPr>
        <w:t>)</w:t>
      </w:r>
      <w:r w:rsidR="00663414" w:rsidRPr="00E543A5">
        <w:rPr>
          <w:rFonts w:ascii="Times New Roman" w:hAnsi="Times New Roman"/>
          <w:spacing w:val="-2"/>
          <w:sz w:val="13"/>
          <w:szCs w:val="13"/>
        </w:rPr>
        <w:t xml:space="preserve">; </w:t>
      </w:r>
      <w:r w:rsidR="00E543A5" w:rsidRPr="00297A2E">
        <w:rPr>
          <w:rFonts w:ascii="Times New Roman" w:hAnsi="Times New Roman"/>
          <w:b/>
          <w:sz w:val="13"/>
          <w:szCs w:val="13"/>
        </w:rPr>
        <w:t xml:space="preserve">BGH </w:t>
      </w:r>
      <w:r w:rsidR="00E543A5" w:rsidRPr="00297A2E">
        <w:rPr>
          <w:rStyle w:val="zit"/>
          <w:b/>
          <w:sz w:val="13"/>
          <w:szCs w:val="13"/>
        </w:rPr>
        <w:t xml:space="preserve">StV 2022, </w:t>
      </w:r>
      <w:r w:rsidR="003B108A">
        <w:rPr>
          <w:rStyle w:val="zit"/>
          <w:b/>
          <w:sz w:val="13"/>
          <w:szCs w:val="13"/>
        </w:rPr>
        <w:t xml:space="preserve">367 </w:t>
      </w:r>
      <w:r w:rsidR="00E543A5" w:rsidRPr="00297A2E">
        <w:rPr>
          <w:rStyle w:val="zit"/>
          <w:sz w:val="13"/>
          <w:szCs w:val="13"/>
        </w:rPr>
        <w:t>– Beweiswürdigung (Teilschweigen des Angeklagten)</w:t>
      </w:r>
      <w:r w:rsidR="00E543A5" w:rsidRPr="00297A2E">
        <w:rPr>
          <w:rFonts w:ascii="Times New Roman" w:hAnsi="Times New Roman"/>
          <w:sz w:val="13"/>
          <w:szCs w:val="13"/>
        </w:rPr>
        <w:t xml:space="preserve">; </w:t>
      </w:r>
      <w:r w:rsidR="00E543A5" w:rsidRPr="00297A2E">
        <w:rPr>
          <w:rFonts w:ascii="Times New Roman" w:hAnsi="Times New Roman"/>
          <w:b/>
          <w:sz w:val="13"/>
          <w:szCs w:val="13"/>
        </w:rPr>
        <w:t>BGH StV 2022, 776</w:t>
      </w:r>
      <w:r w:rsidR="00E543A5" w:rsidRPr="00297A2E">
        <w:rPr>
          <w:rFonts w:ascii="Times New Roman" w:hAnsi="Times New Roman"/>
          <w:sz w:val="13"/>
          <w:szCs w:val="13"/>
        </w:rPr>
        <w:t xml:space="preserve"> – Beweiswürdigung (zeitweiliges Schweigen des Angeklagten); </w:t>
      </w:r>
      <w:r w:rsidR="00E543A5" w:rsidRPr="00297A2E">
        <w:rPr>
          <w:rFonts w:ascii="Times New Roman" w:hAnsi="Times New Roman"/>
          <w:b/>
          <w:sz w:val="13"/>
          <w:szCs w:val="13"/>
        </w:rPr>
        <w:t>BGH NStZ 2023, 57</w:t>
      </w:r>
      <w:r w:rsidR="00E543A5" w:rsidRPr="00297A2E">
        <w:rPr>
          <w:rFonts w:ascii="Times New Roman" w:hAnsi="Times New Roman"/>
          <w:sz w:val="13"/>
          <w:szCs w:val="13"/>
        </w:rPr>
        <w:t xml:space="preserve"> – fehlerhafte Beweiswürdigung (</w:t>
      </w:r>
      <w:r w:rsidR="00E543A5">
        <w:rPr>
          <w:rFonts w:ascii="Times New Roman" w:hAnsi="Times New Roman"/>
          <w:sz w:val="13"/>
          <w:szCs w:val="13"/>
        </w:rPr>
        <w:t xml:space="preserve">ungeprüftes </w:t>
      </w:r>
      <w:r w:rsidR="00E543A5" w:rsidRPr="00297A2E">
        <w:rPr>
          <w:rFonts w:ascii="Times New Roman" w:hAnsi="Times New Roman"/>
          <w:sz w:val="13"/>
          <w:szCs w:val="13"/>
        </w:rPr>
        <w:t xml:space="preserve">Geständnis des Angeklagten </w:t>
      </w:r>
      <w:r w:rsidR="00E543A5">
        <w:rPr>
          <w:rFonts w:ascii="Times New Roman" w:hAnsi="Times New Roman"/>
          <w:sz w:val="13"/>
          <w:szCs w:val="13"/>
        </w:rPr>
        <w:t>als alleinige Urteilsgrundlage</w:t>
      </w:r>
      <w:r w:rsidR="00E543A5" w:rsidRPr="00297A2E">
        <w:rPr>
          <w:rFonts w:ascii="Times New Roman" w:hAnsi="Times New Roman"/>
          <w:sz w:val="13"/>
          <w:szCs w:val="13"/>
        </w:rPr>
        <w:t>)</w:t>
      </w:r>
      <w:r w:rsidR="00431B29">
        <w:rPr>
          <w:rFonts w:ascii="Times New Roman" w:hAnsi="Times New Roman"/>
          <w:sz w:val="13"/>
          <w:szCs w:val="13"/>
        </w:rPr>
        <w:t xml:space="preserve">; </w:t>
      </w:r>
      <w:r w:rsidR="00957EF0" w:rsidRPr="006D5D3D">
        <w:rPr>
          <w:rFonts w:ascii="Times New Roman" w:hAnsi="Times New Roman"/>
          <w:b/>
          <w:bCs/>
          <w:sz w:val="13"/>
          <w:szCs w:val="13"/>
        </w:rPr>
        <w:t>BGH BeckRS 2024, 12812</w:t>
      </w:r>
      <w:r w:rsidR="00957EF0">
        <w:rPr>
          <w:rFonts w:ascii="Times New Roman" w:hAnsi="Times New Roman"/>
          <w:sz w:val="13"/>
          <w:szCs w:val="13"/>
        </w:rPr>
        <w:t xml:space="preserve"> – </w:t>
      </w:r>
      <w:r w:rsidR="0031272E">
        <w:rPr>
          <w:rFonts w:ascii="Times New Roman" w:hAnsi="Times New Roman"/>
          <w:sz w:val="13"/>
          <w:szCs w:val="13"/>
        </w:rPr>
        <w:t>In dubio pro reo (</w:t>
      </w:r>
      <w:r w:rsidR="00957EF0">
        <w:rPr>
          <w:rFonts w:ascii="Times New Roman" w:hAnsi="Times New Roman"/>
          <w:sz w:val="13"/>
          <w:szCs w:val="13"/>
        </w:rPr>
        <w:t>Fehlerhafte Anwendung des Grundsatzes</w:t>
      </w:r>
      <w:r w:rsidR="0031272E">
        <w:rPr>
          <w:rFonts w:ascii="Times New Roman" w:hAnsi="Times New Roman"/>
          <w:sz w:val="13"/>
          <w:szCs w:val="13"/>
        </w:rPr>
        <w:t>)</w:t>
      </w:r>
      <w:r w:rsidR="00957EF0">
        <w:rPr>
          <w:rFonts w:ascii="Times New Roman" w:hAnsi="Times New Roman"/>
          <w:sz w:val="13"/>
          <w:szCs w:val="13"/>
        </w:rPr>
        <w:t xml:space="preserve">; </w:t>
      </w:r>
      <w:r w:rsidR="00431B29" w:rsidRPr="006D5D3D">
        <w:rPr>
          <w:rFonts w:ascii="Times New Roman" w:hAnsi="Times New Roman"/>
          <w:b/>
          <w:bCs/>
          <w:sz w:val="13"/>
          <w:szCs w:val="13"/>
        </w:rPr>
        <w:t xml:space="preserve">BGH </w:t>
      </w:r>
      <w:r w:rsidR="00431B29">
        <w:rPr>
          <w:rFonts w:ascii="Times New Roman" w:hAnsi="Times New Roman"/>
          <w:b/>
          <w:bCs/>
          <w:sz w:val="13"/>
          <w:szCs w:val="13"/>
        </w:rPr>
        <w:t>BeckRS</w:t>
      </w:r>
      <w:r w:rsidR="00431B29" w:rsidRPr="006D5D3D">
        <w:rPr>
          <w:rFonts w:ascii="Times New Roman" w:hAnsi="Times New Roman"/>
          <w:b/>
          <w:bCs/>
          <w:sz w:val="13"/>
          <w:szCs w:val="13"/>
        </w:rPr>
        <w:t xml:space="preserve"> 2024, </w:t>
      </w:r>
      <w:r w:rsidR="00957EF0">
        <w:rPr>
          <w:rFonts w:ascii="Times New Roman" w:hAnsi="Times New Roman"/>
          <w:b/>
          <w:bCs/>
          <w:sz w:val="13"/>
          <w:szCs w:val="13"/>
        </w:rPr>
        <w:t>14406</w:t>
      </w:r>
      <w:r w:rsidR="00431B29">
        <w:rPr>
          <w:rFonts w:ascii="Times New Roman" w:hAnsi="Times New Roman"/>
          <w:sz w:val="13"/>
          <w:szCs w:val="13"/>
        </w:rPr>
        <w:t xml:space="preserve"> – Beweiswürdigung („Aussage gegen Aussage“).</w:t>
      </w:r>
    </w:p>
    <w:sectPr w:rsidR="00AC58B6" w:rsidRPr="00754051" w:rsidSect="00AC58B6">
      <w:pgSz w:w="11906" w:h="16838"/>
      <w:pgMar w:top="397" w:right="567" w:bottom="289" w:left="1134" w:header="567" w:footer="289"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9B8062" w14:textId="77777777" w:rsidR="00916442" w:rsidRDefault="00916442">
      <w:pPr>
        <w:widowControl/>
        <w:spacing w:line="-20" w:lineRule="auto"/>
      </w:pPr>
    </w:p>
  </w:endnote>
  <w:endnote w:type="continuationSeparator" w:id="0">
    <w:p w14:paraId="6DCA3FB7" w14:textId="77777777" w:rsidR="00916442" w:rsidRDefault="00916442">
      <w:r>
        <w:t xml:space="preserve"> </w:t>
      </w:r>
    </w:p>
  </w:endnote>
  <w:endnote w:type="continuationNotice" w:id="1">
    <w:p w14:paraId="7BC2BA0C" w14:textId="77777777" w:rsidR="00916442" w:rsidRDefault="0091644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utch Roman 12pt">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1EE067" w14:textId="77777777" w:rsidR="00916442" w:rsidRDefault="00916442">
      <w:r>
        <w:separator/>
      </w:r>
    </w:p>
  </w:footnote>
  <w:footnote w:type="continuationSeparator" w:id="0">
    <w:p w14:paraId="7F81A354" w14:textId="77777777" w:rsidR="00916442" w:rsidRDefault="009164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0506F58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21D25B0"/>
    <w:multiLevelType w:val="hybridMultilevel"/>
    <w:tmpl w:val="6DFA7FCE"/>
    <w:lvl w:ilvl="0" w:tplc="FFFFFFFF">
      <w:start w:val="1"/>
      <w:numFmt w:val="upperRoman"/>
      <w:lvlText w:val="%1."/>
      <w:lvlJc w:val="left"/>
      <w:pPr>
        <w:tabs>
          <w:tab w:val="num" w:pos="1080"/>
        </w:tabs>
        <w:ind w:left="1080" w:hanging="720"/>
      </w:pPr>
      <w:rPr>
        <w:rFonts w:hint="default"/>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19DF46CE"/>
    <w:multiLevelType w:val="hybridMultilevel"/>
    <w:tmpl w:val="EEE6AC56"/>
    <w:lvl w:ilvl="0" w:tplc="FFFFFFFF">
      <w:start w:val="1"/>
      <w:numFmt w:val="decimal"/>
      <w:lvlText w:val="%1."/>
      <w:lvlJc w:val="left"/>
      <w:pPr>
        <w:tabs>
          <w:tab w:val="num" w:pos="645"/>
        </w:tabs>
        <w:ind w:left="645" w:hanging="360"/>
      </w:pPr>
      <w:rPr>
        <w:rFonts w:hint="default"/>
      </w:rPr>
    </w:lvl>
    <w:lvl w:ilvl="1" w:tplc="FFFFFFFF" w:tentative="1">
      <w:start w:val="1"/>
      <w:numFmt w:val="lowerLetter"/>
      <w:lvlText w:val="%2."/>
      <w:lvlJc w:val="left"/>
      <w:pPr>
        <w:tabs>
          <w:tab w:val="num" w:pos="1365"/>
        </w:tabs>
        <w:ind w:left="1365" w:hanging="360"/>
      </w:pPr>
    </w:lvl>
    <w:lvl w:ilvl="2" w:tplc="FFFFFFFF" w:tentative="1">
      <w:start w:val="1"/>
      <w:numFmt w:val="lowerRoman"/>
      <w:lvlText w:val="%3."/>
      <w:lvlJc w:val="right"/>
      <w:pPr>
        <w:tabs>
          <w:tab w:val="num" w:pos="2085"/>
        </w:tabs>
        <w:ind w:left="2085" w:hanging="180"/>
      </w:pPr>
    </w:lvl>
    <w:lvl w:ilvl="3" w:tplc="FFFFFFFF" w:tentative="1">
      <w:start w:val="1"/>
      <w:numFmt w:val="decimal"/>
      <w:lvlText w:val="%4."/>
      <w:lvlJc w:val="left"/>
      <w:pPr>
        <w:tabs>
          <w:tab w:val="num" w:pos="2805"/>
        </w:tabs>
        <w:ind w:left="2805" w:hanging="360"/>
      </w:pPr>
    </w:lvl>
    <w:lvl w:ilvl="4" w:tplc="FFFFFFFF" w:tentative="1">
      <w:start w:val="1"/>
      <w:numFmt w:val="lowerLetter"/>
      <w:lvlText w:val="%5."/>
      <w:lvlJc w:val="left"/>
      <w:pPr>
        <w:tabs>
          <w:tab w:val="num" w:pos="3525"/>
        </w:tabs>
        <w:ind w:left="3525" w:hanging="360"/>
      </w:pPr>
    </w:lvl>
    <w:lvl w:ilvl="5" w:tplc="FFFFFFFF" w:tentative="1">
      <w:start w:val="1"/>
      <w:numFmt w:val="lowerRoman"/>
      <w:lvlText w:val="%6."/>
      <w:lvlJc w:val="right"/>
      <w:pPr>
        <w:tabs>
          <w:tab w:val="num" w:pos="4245"/>
        </w:tabs>
        <w:ind w:left="4245" w:hanging="180"/>
      </w:pPr>
    </w:lvl>
    <w:lvl w:ilvl="6" w:tplc="FFFFFFFF" w:tentative="1">
      <w:start w:val="1"/>
      <w:numFmt w:val="decimal"/>
      <w:lvlText w:val="%7."/>
      <w:lvlJc w:val="left"/>
      <w:pPr>
        <w:tabs>
          <w:tab w:val="num" w:pos="4965"/>
        </w:tabs>
        <w:ind w:left="4965" w:hanging="360"/>
      </w:pPr>
    </w:lvl>
    <w:lvl w:ilvl="7" w:tplc="FFFFFFFF" w:tentative="1">
      <w:start w:val="1"/>
      <w:numFmt w:val="lowerLetter"/>
      <w:lvlText w:val="%8."/>
      <w:lvlJc w:val="left"/>
      <w:pPr>
        <w:tabs>
          <w:tab w:val="num" w:pos="5685"/>
        </w:tabs>
        <w:ind w:left="5685" w:hanging="360"/>
      </w:pPr>
    </w:lvl>
    <w:lvl w:ilvl="8" w:tplc="FFFFFFFF" w:tentative="1">
      <w:start w:val="1"/>
      <w:numFmt w:val="lowerRoman"/>
      <w:lvlText w:val="%9."/>
      <w:lvlJc w:val="right"/>
      <w:pPr>
        <w:tabs>
          <w:tab w:val="num" w:pos="6405"/>
        </w:tabs>
        <w:ind w:left="6405" w:hanging="180"/>
      </w:pPr>
    </w:lvl>
  </w:abstractNum>
  <w:abstractNum w:abstractNumId="3" w15:restartNumberingAfterBreak="0">
    <w:nsid w:val="1C593240"/>
    <w:multiLevelType w:val="hybridMultilevel"/>
    <w:tmpl w:val="2ACAE1FC"/>
    <w:lvl w:ilvl="0" w:tplc="FFFFFFFF">
      <w:start w:val="1"/>
      <w:numFmt w:val="upperRoman"/>
      <w:lvlText w:val="%1."/>
      <w:lvlJc w:val="left"/>
      <w:pPr>
        <w:tabs>
          <w:tab w:val="num" w:pos="1080"/>
        </w:tabs>
        <w:ind w:left="1080" w:hanging="720"/>
      </w:pPr>
      <w:rPr>
        <w:rFonts w:hint="default"/>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31764415"/>
    <w:multiLevelType w:val="hybridMultilevel"/>
    <w:tmpl w:val="E026A9B8"/>
    <w:lvl w:ilvl="0" w:tplc="FFFFFFFF">
      <w:start w:val="1"/>
      <w:numFmt w:val="decimal"/>
      <w:lvlText w:val="%1."/>
      <w:lvlJc w:val="left"/>
      <w:pPr>
        <w:tabs>
          <w:tab w:val="num" w:pos="1080"/>
        </w:tabs>
        <w:ind w:left="1080" w:hanging="360"/>
      </w:pPr>
      <w:rPr>
        <w:rFonts w:hint="default"/>
        <w:b/>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num w:numId="1" w16cid:durableId="1075014550">
    <w:abstractNumId w:val="3"/>
  </w:num>
  <w:num w:numId="2" w16cid:durableId="723918046">
    <w:abstractNumId w:val="1"/>
  </w:num>
  <w:num w:numId="3" w16cid:durableId="498228877">
    <w:abstractNumId w:val="2"/>
  </w:num>
  <w:num w:numId="4" w16cid:durableId="1271545309">
    <w:abstractNumId w:val="4"/>
  </w:num>
  <w:num w:numId="5" w16cid:durableId="4387658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6"/>
  <w:embedSystemFonts/>
  <w:proofState w:spelling="clean" w:grammar="clean"/>
  <w:defaultTabStop w:val="720"/>
  <w:autoHyphenation/>
  <w:hyphenationZone w:val="51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993"/>
    <w:rsid w:val="00020B26"/>
    <w:rsid w:val="00043087"/>
    <w:rsid w:val="00054F41"/>
    <w:rsid w:val="00065A89"/>
    <w:rsid w:val="000737A5"/>
    <w:rsid w:val="00073B1E"/>
    <w:rsid w:val="00086CC5"/>
    <w:rsid w:val="00090D21"/>
    <w:rsid w:val="00094E2D"/>
    <w:rsid w:val="000B10E7"/>
    <w:rsid w:val="000E43EC"/>
    <w:rsid w:val="000F2322"/>
    <w:rsid w:val="001225FA"/>
    <w:rsid w:val="001267F2"/>
    <w:rsid w:val="00133CA1"/>
    <w:rsid w:val="00181AEC"/>
    <w:rsid w:val="00193553"/>
    <w:rsid w:val="001A3559"/>
    <w:rsid w:val="001B516F"/>
    <w:rsid w:val="001D5D18"/>
    <w:rsid w:val="00211F9A"/>
    <w:rsid w:val="00226648"/>
    <w:rsid w:val="0022759D"/>
    <w:rsid w:val="00253E97"/>
    <w:rsid w:val="00266667"/>
    <w:rsid w:val="00276B90"/>
    <w:rsid w:val="002878F2"/>
    <w:rsid w:val="00296619"/>
    <w:rsid w:val="00297A2E"/>
    <w:rsid w:val="002A305F"/>
    <w:rsid w:val="002A3061"/>
    <w:rsid w:val="002E2098"/>
    <w:rsid w:val="00303660"/>
    <w:rsid w:val="0031272E"/>
    <w:rsid w:val="00314021"/>
    <w:rsid w:val="00315CF0"/>
    <w:rsid w:val="003347D1"/>
    <w:rsid w:val="003407C3"/>
    <w:rsid w:val="003A6A94"/>
    <w:rsid w:val="003B108A"/>
    <w:rsid w:val="003C6993"/>
    <w:rsid w:val="00431B29"/>
    <w:rsid w:val="00437BFA"/>
    <w:rsid w:val="00456846"/>
    <w:rsid w:val="004D745B"/>
    <w:rsid w:val="00512CA4"/>
    <w:rsid w:val="005436FB"/>
    <w:rsid w:val="005611A2"/>
    <w:rsid w:val="00576F01"/>
    <w:rsid w:val="00610A4A"/>
    <w:rsid w:val="006121AF"/>
    <w:rsid w:val="00663414"/>
    <w:rsid w:val="006A5A6C"/>
    <w:rsid w:val="006B3EDC"/>
    <w:rsid w:val="006C7E69"/>
    <w:rsid w:val="006D48C9"/>
    <w:rsid w:val="006D5D3D"/>
    <w:rsid w:val="006E3A1D"/>
    <w:rsid w:val="006F1DD7"/>
    <w:rsid w:val="00701B60"/>
    <w:rsid w:val="00754051"/>
    <w:rsid w:val="00773593"/>
    <w:rsid w:val="0077644C"/>
    <w:rsid w:val="00787D6B"/>
    <w:rsid w:val="0079321C"/>
    <w:rsid w:val="007A2AAE"/>
    <w:rsid w:val="007C4562"/>
    <w:rsid w:val="007D3DAB"/>
    <w:rsid w:val="007E5049"/>
    <w:rsid w:val="008000A2"/>
    <w:rsid w:val="008A49EA"/>
    <w:rsid w:val="008E3379"/>
    <w:rsid w:val="00916442"/>
    <w:rsid w:val="00924427"/>
    <w:rsid w:val="00930B2D"/>
    <w:rsid w:val="00943379"/>
    <w:rsid w:val="00957CA3"/>
    <w:rsid w:val="00957EF0"/>
    <w:rsid w:val="00997C7E"/>
    <w:rsid w:val="009B0D9B"/>
    <w:rsid w:val="009B6161"/>
    <w:rsid w:val="009C7807"/>
    <w:rsid w:val="009D1149"/>
    <w:rsid w:val="00A129BC"/>
    <w:rsid w:val="00A82C55"/>
    <w:rsid w:val="00A91016"/>
    <w:rsid w:val="00A95D4B"/>
    <w:rsid w:val="00A97373"/>
    <w:rsid w:val="00AA4BA1"/>
    <w:rsid w:val="00AC58B6"/>
    <w:rsid w:val="00B05BB2"/>
    <w:rsid w:val="00BA0AAE"/>
    <w:rsid w:val="00BD6282"/>
    <w:rsid w:val="00BE4B87"/>
    <w:rsid w:val="00BF08D6"/>
    <w:rsid w:val="00BF0BC3"/>
    <w:rsid w:val="00C143A8"/>
    <w:rsid w:val="00C22E91"/>
    <w:rsid w:val="00C35DC3"/>
    <w:rsid w:val="00C41C26"/>
    <w:rsid w:val="00C82288"/>
    <w:rsid w:val="00C94844"/>
    <w:rsid w:val="00CA2E21"/>
    <w:rsid w:val="00CA5401"/>
    <w:rsid w:val="00CA5FDB"/>
    <w:rsid w:val="00CB41B8"/>
    <w:rsid w:val="00CB50EB"/>
    <w:rsid w:val="00CC45D1"/>
    <w:rsid w:val="00D24ACF"/>
    <w:rsid w:val="00D25870"/>
    <w:rsid w:val="00D32FDE"/>
    <w:rsid w:val="00D74CF2"/>
    <w:rsid w:val="00DB2F51"/>
    <w:rsid w:val="00DC6FD6"/>
    <w:rsid w:val="00DE4955"/>
    <w:rsid w:val="00E16FAB"/>
    <w:rsid w:val="00E305AA"/>
    <w:rsid w:val="00E309CB"/>
    <w:rsid w:val="00E32118"/>
    <w:rsid w:val="00E47FED"/>
    <w:rsid w:val="00E543A5"/>
    <w:rsid w:val="00E75638"/>
    <w:rsid w:val="00E779E0"/>
    <w:rsid w:val="00E8433E"/>
    <w:rsid w:val="00E87F28"/>
    <w:rsid w:val="00EA6F55"/>
    <w:rsid w:val="00EB341D"/>
    <w:rsid w:val="00ED53B5"/>
    <w:rsid w:val="00F14B18"/>
    <w:rsid w:val="00F158C0"/>
    <w:rsid w:val="00F408E7"/>
    <w:rsid w:val="00F63EC9"/>
    <w:rsid w:val="00F94F91"/>
    <w:rsid w:val="00FA7308"/>
    <w:rsid w:val="00FB1DFB"/>
    <w:rsid w:val="00FB26AC"/>
    <w:rsid w:val="00FC084C"/>
    <w:rsid w:val="00FC14F0"/>
    <w:rsid w:val="00FD26E1"/>
    <w:rsid w:val="00FF733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1EE10E8"/>
  <w15:chartTrackingRefBased/>
  <w15:docId w15:val="{62DD3B82-E5FB-4C54-B099-ABF6930BD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widowControl w:val="0"/>
      <w:overflowPunct w:val="0"/>
      <w:autoSpaceDE w:val="0"/>
      <w:autoSpaceDN w:val="0"/>
      <w:adjustRightInd w:val="0"/>
      <w:textAlignment w:val="baseline"/>
    </w:pPr>
    <w:rPr>
      <w:rFonts w:ascii="Dutch Roman 12pt" w:hAnsi="Dutch Roman 12pt"/>
      <w:sz w:val="24"/>
    </w:rPr>
  </w:style>
  <w:style w:type="paragraph" w:styleId="berschrift1">
    <w:name w:val="heading 1"/>
    <w:basedOn w:val="Standard"/>
    <w:next w:val="Standard"/>
    <w:qFormat/>
    <w:pPr>
      <w:keepNext/>
      <w:framePr w:w="9726" w:h="1417" w:hSpace="240" w:vSpace="120" w:wrap="auto" w:vAnchor="text" w:hAnchor="page" w:x="1402" w:y="505"/>
      <w:widowControl/>
      <w:pBdr>
        <w:top w:val="single" w:sz="12" w:space="11" w:color="auto" w:shadow="1"/>
        <w:left w:val="single" w:sz="12" w:space="11" w:color="auto" w:shadow="1"/>
        <w:bottom w:val="single" w:sz="12" w:space="11" w:color="auto" w:shadow="1"/>
        <w:right w:val="single" w:sz="12" w:space="11" w:color="auto" w:shadow="1"/>
      </w:pBdr>
      <w:shd w:val="pct10" w:color="auto" w:fill="auto"/>
      <w:tabs>
        <w:tab w:val="center" w:pos="4862"/>
      </w:tabs>
      <w:jc w:val="both"/>
      <w:outlineLvl w:val="0"/>
    </w:pPr>
    <w:rPr>
      <w:b/>
      <w:spacing w:val="-3"/>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Endnotentext">
    <w:name w:val="endnote text"/>
    <w:basedOn w:val="Standard"/>
    <w:semiHidden/>
  </w:style>
  <w:style w:type="character" w:styleId="Endnotenzeichen">
    <w:name w:val="endnote reference"/>
    <w:semiHidden/>
    <w:rPr>
      <w:vertAlign w:val="superscript"/>
    </w:rPr>
  </w:style>
  <w:style w:type="paragraph" w:styleId="Funotentext">
    <w:name w:val="footnote text"/>
    <w:basedOn w:val="Standard"/>
    <w:semiHidden/>
  </w:style>
  <w:style w:type="character" w:styleId="Funotenzeichen">
    <w:name w:val="footnote reference"/>
    <w:semiHidden/>
    <w:rPr>
      <w:vertAlign w:val="superscript"/>
    </w:rPr>
  </w:style>
  <w:style w:type="character" w:customStyle="1" w:styleId="klein">
    <w:name w:val="klein"/>
    <w:rPr>
      <w:rFonts w:ascii="Arial Narrow" w:hAnsi="Arial Narrow"/>
      <w:noProof w:val="0"/>
      <w:sz w:val="16"/>
      <w:lang w:val="en-US"/>
    </w:rPr>
  </w:style>
  <w:style w:type="character" w:customStyle="1" w:styleId="berschr-1">
    <w:name w:val="Überschr-1"/>
    <w:rPr>
      <w:rFonts w:ascii="Dutch Roman 12pt" w:hAnsi="Dutch Roman 12pt"/>
      <w:noProof w:val="0"/>
      <w:sz w:val="24"/>
      <w:lang w:val="en-US"/>
    </w:rPr>
  </w:style>
  <w:style w:type="character" w:customStyle="1" w:styleId="berschr-2">
    <w:name w:val="Überschr-2"/>
    <w:rPr>
      <w:rFonts w:ascii="Dutch Roman 12pt" w:hAnsi="Dutch Roman 12pt"/>
      <w:noProof w:val="0"/>
      <w:sz w:val="24"/>
      <w:lang w:val="en-US"/>
    </w:rPr>
  </w:style>
  <w:style w:type="character" w:customStyle="1" w:styleId="berschr-3">
    <w:name w:val="Überschr-3"/>
    <w:rPr>
      <w:rFonts w:ascii="Dutch Roman 12pt" w:hAnsi="Dutch Roman 12pt"/>
      <w:noProof w:val="0"/>
      <w:sz w:val="24"/>
      <w:lang w:val="en-US"/>
    </w:rPr>
  </w:style>
  <w:style w:type="character" w:customStyle="1" w:styleId="berschr-4">
    <w:name w:val="Überschr-4"/>
    <w:rPr>
      <w:rFonts w:ascii="Dutch Roman 12pt" w:hAnsi="Dutch Roman 12pt"/>
      <w:noProof w:val="0"/>
      <w:sz w:val="24"/>
      <w:lang w:val="en-US"/>
    </w:rPr>
  </w:style>
  <w:style w:type="character" w:customStyle="1" w:styleId="berschr-5">
    <w:name w:val="Überschr-5"/>
    <w:rPr>
      <w:rFonts w:ascii="Dutch Roman 12pt" w:hAnsi="Dutch Roman 12pt"/>
      <w:noProof w:val="0"/>
      <w:sz w:val="24"/>
      <w:lang w:val="en-US"/>
    </w:rPr>
  </w:style>
  <w:style w:type="character" w:customStyle="1" w:styleId="Kopftext">
    <w:name w:val="Kopftext"/>
    <w:rPr>
      <w:rFonts w:ascii="Dutch Roman 12pt" w:hAnsi="Dutch Roman 12pt"/>
      <w:noProof w:val="0"/>
      <w:sz w:val="24"/>
      <w:lang w:val="en-US"/>
    </w:rPr>
  </w:style>
  <w:style w:type="paragraph" w:styleId="Verzeichnis1">
    <w:name w:val="toc 1"/>
    <w:basedOn w:val="Standard"/>
    <w:next w:val="Standard"/>
    <w:semiHidden/>
    <w:pPr>
      <w:tabs>
        <w:tab w:val="right" w:leader="dot" w:pos="9360"/>
      </w:tabs>
      <w:suppressAutoHyphens/>
      <w:spacing w:before="480"/>
      <w:ind w:left="720" w:right="720" w:hanging="720"/>
    </w:pPr>
    <w:rPr>
      <w:lang w:val="en-US"/>
    </w:rPr>
  </w:style>
  <w:style w:type="paragraph" w:styleId="Verzeichnis2">
    <w:name w:val="toc 2"/>
    <w:basedOn w:val="Standard"/>
    <w:next w:val="Standard"/>
    <w:semiHidden/>
    <w:pPr>
      <w:tabs>
        <w:tab w:val="right" w:leader="dot" w:pos="9360"/>
      </w:tabs>
      <w:suppressAutoHyphens/>
      <w:ind w:left="720" w:right="720"/>
    </w:pPr>
    <w:rPr>
      <w:lang w:val="en-US"/>
    </w:rPr>
  </w:style>
  <w:style w:type="paragraph" w:styleId="Verzeichnis3">
    <w:name w:val="toc 3"/>
    <w:basedOn w:val="Standard"/>
    <w:next w:val="Standard"/>
    <w:semiHidden/>
    <w:pPr>
      <w:tabs>
        <w:tab w:val="right" w:leader="dot" w:pos="9360"/>
      </w:tabs>
      <w:suppressAutoHyphens/>
      <w:ind w:left="720" w:right="720"/>
    </w:pPr>
    <w:rPr>
      <w:lang w:val="en-US"/>
    </w:rPr>
  </w:style>
  <w:style w:type="paragraph" w:styleId="Verzeichnis4">
    <w:name w:val="toc 4"/>
    <w:basedOn w:val="Standard"/>
    <w:next w:val="Standard"/>
    <w:semiHidden/>
    <w:pPr>
      <w:tabs>
        <w:tab w:val="right" w:leader="dot" w:pos="9360"/>
      </w:tabs>
      <w:suppressAutoHyphens/>
      <w:ind w:left="720" w:right="720"/>
    </w:pPr>
    <w:rPr>
      <w:lang w:val="en-US"/>
    </w:rPr>
  </w:style>
  <w:style w:type="paragraph" w:styleId="Verzeichnis5">
    <w:name w:val="toc 5"/>
    <w:basedOn w:val="Standard"/>
    <w:next w:val="Standard"/>
    <w:semiHidden/>
    <w:pPr>
      <w:tabs>
        <w:tab w:val="right" w:leader="dot" w:pos="9360"/>
      </w:tabs>
      <w:suppressAutoHyphens/>
      <w:ind w:left="720" w:right="720"/>
    </w:pPr>
    <w:rPr>
      <w:lang w:val="en-US"/>
    </w:rPr>
  </w:style>
  <w:style w:type="paragraph" w:styleId="Verzeichnis6">
    <w:name w:val="toc 6"/>
    <w:basedOn w:val="Standard"/>
    <w:next w:val="Standard"/>
    <w:semiHidden/>
    <w:pPr>
      <w:tabs>
        <w:tab w:val="right" w:pos="9360"/>
      </w:tabs>
      <w:suppressAutoHyphens/>
      <w:ind w:left="720" w:hanging="720"/>
    </w:pPr>
    <w:rPr>
      <w:lang w:val="en-US"/>
    </w:rPr>
  </w:style>
  <w:style w:type="paragraph" w:styleId="Verzeichnis7">
    <w:name w:val="toc 7"/>
    <w:basedOn w:val="Standard"/>
    <w:next w:val="Standard"/>
    <w:semiHidden/>
    <w:pPr>
      <w:suppressAutoHyphens/>
      <w:ind w:left="720" w:hanging="720"/>
    </w:pPr>
    <w:rPr>
      <w:lang w:val="en-US"/>
    </w:rPr>
  </w:style>
  <w:style w:type="paragraph" w:styleId="Verzeichnis8">
    <w:name w:val="toc 8"/>
    <w:basedOn w:val="Standard"/>
    <w:next w:val="Standard"/>
    <w:semiHidden/>
    <w:pPr>
      <w:tabs>
        <w:tab w:val="right" w:pos="9360"/>
      </w:tabs>
      <w:suppressAutoHyphens/>
      <w:ind w:left="720" w:hanging="720"/>
    </w:pPr>
    <w:rPr>
      <w:lang w:val="en-US"/>
    </w:rPr>
  </w:style>
  <w:style w:type="paragraph" w:styleId="Verzeichnis9">
    <w:name w:val="toc 9"/>
    <w:basedOn w:val="Standard"/>
    <w:next w:val="Standard"/>
    <w:semiHidden/>
    <w:pPr>
      <w:tabs>
        <w:tab w:val="right" w:leader="dot" w:pos="9360"/>
      </w:tabs>
      <w:suppressAutoHyphens/>
      <w:ind w:left="720" w:hanging="720"/>
    </w:pPr>
    <w:rPr>
      <w:lang w:val="en-US"/>
    </w:rPr>
  </w:style>
  <w:style w:type="paragraph" w:styleId="Index1">
    <w:name w:val="index 1"/>
    <w:basedOn w:val="Standard"/>
    <w:next w:val="Standard"/>
    <w:semiHidden/>
    <w:pPr>
      <w:tabs>
        <w:tab w:val="right" w:leader="dot" w:pos="9360"/>
      </w:tabs>
      <w:suppressAutoHyphens/>
      <w:ind w:left="720" w:hanging="720"/>
    </w:pPr>
    <w:rPr>
      <w:lang w:val="en-US"/>
    </w:rPr>
  </w:style>
  <w:style w:type="paragraph" w:styleId="Index2">
    <w:name w:val="index 2"/>
    <w:basedOn w:val="Standard"/>
    <w:next w:val="Standard"/>
    <w:semiHidden/>
    <w:pPr>
      <w:tabs>
        <w:tab w:val="right" w:leader="dot" w:pos="9360"/>
      </w:tabs>
      <w:suppressAutoHyphens/>
      <w:ind w:left="720"/>
    </w:pPr>
    <w:rPr>
      <w:lang w:val="en-US"/>
    </w:rPr>
  </w:style>
  <w:style w:type="paragraph" w:styleId="RGV-berschrift">
    <w:name w:val="toa heading"/>
    <w:basedOn w:val="Standard"/>
    <w:semiHidden/>
    <w:pPr>
      <w:tabs>
        <w:tab w:val="right" w:pos="9360"/>
      </w:tabs>
      <w:suppressAutoHyphens/>
    </w:pPr>
    <w:rPr>
      <w:lang w:val="en-US"/>
    </w:rPr>
  </w:style>
  <w:style w:type="paragraph" w:styleId="Beschriftung">
    <w:name w:val="caption"/>
    <w:basedOn w:val="Standard"/>
    <w:next w:val="Standard"/>
    <w:qFormat/>
  </w:style>
  <w:style w:type="character" w:customStyle="1" w:styleId="EquationCaption">
    <w:name w:val="_Equation Caption"/>
  </w:style>
  <w:style w:type="paragraph" w:styleId="Sprechblasentext">
    <w:name w:val="Balloon Text"/>
    <w:basedOn w:val="Standard"/>
    <w:semiHidden/>
    <w:rsid w:val="007E5A65"/>
    <w:rPr>
      <w:rFonts w:ascii="Tahoma" w:hAnsi="Tahoma" w:cs="Tahoma"/>
      <w:sz w:val="16"/>
      <w:szCs w:val="16"/>
    </w:rPr>
  </w:style>
  <w:style w:type="character" w:styleId="Kommentarzeichen">
    <w:name w:val="annotation reference"/>
    <w:uiPriority w:val="99"/>
    <w:semiHidden/>
    <w:unhideWhenUsed/>
    <w:rsid w:val="00E87F28"/>
    <w:rPr>
      <w:sz w:val="16"/>
      <w:szCs w:val="16"/>
    </w:rPr>
  </w:style>
  <w:style w:type="paragraph" w:styleId="Kommentartext">
    <w:name w:val="annotation text"/>
    <w:basedOn w:val="Standard"/>
    <w:link w:val="KommentartextZchn"/>
    <w:uiPriority w:val="99"/>
    <w:semiHidden/>
    <w:unhideWhenUsed/>
    <w:rsid w:val="00E87F28"/>
    <w:rPr>
      <w:sz w:val="20"/>
    </w:rPr>
  </w:style>
  <w:style w:type="character" w:customStyle="1" w:styleId="KommentartextZchn">
    <w:name w:val="Kommentartext Zchn"/>
    <w:link w:val="Kommentartext"/>
    <w:uiPriority w:val="99"/>
    <w:semiHidden/>
    <w:rsid w:val="00E87F28"/>
    <w:rPr>
      <w:rFonts w:ascii="Dutch Roman 12pt" w:hAnsi="Dutch Roman 12pt"/>
    </w:rPr>
  </w:style>
  <w:style w:type="paragraph" w:styleId="Kommentarthema">
    <w:name w:val="annotation subject"/>
    <w:basedOn w:val="Kommentartext"/>
    <w:next w:val="Kommentartext"/>
    <w:link w:val="KommentarthemaZchn"/>
    <w:uiPriority w:val="99"/>
    <w:semiHidden/>
    <w:unhideWhenUsed/>
    <w:rsid w:val="00E87F28"/>
    <w:rPr>
      <w:b/>
      <w:bCs/>
    </w:rPr>
  </w:style>
  <w:style w:type="character" w:customStyle="1" w:styleId="KommentarthemaZchn">
    <w:name w:val="Kommentarthema Zchn"/>
    <w:link w:val="Kommentarthema"/>
    <w:uiPriority w:val="99"/>
    <w:semiHidden/>
    <w:rsid w:val="00E87F28"/>
    <w:rPr>
      <w:rFonts w:ascii="Dutch Roman 12pt" w:hAnsi="Dutch Roman 12pt"/>
      <w:b/>
      <w:bCs/>
    </w:rPr>
  </w:style>
  <w:style w:type="paragraph" w:styleId="berarbeitung">
    <w:name w:val="Revision"/>
    <w:hidden/>
    <w:uiPriority w:val="71"/>
    <w:rsid w:val="00924427"/>
    <w:rPr>
      <w:rFonts w:ascii="Dutch Roman 12pt" w:hAnsi="Dutch Roman 12pt"/>
      <w:sz w:val="24"/>
    </w:rPr>
  </w:style>
  <w:style w:type="character" w:customStyle="1" w:styleId="zit">
    <w:name w:val="zit"/>
    <w:rsid w:val="00E543A5"/>
    <w:rPr>
      <w:rFonts w:ascii="Times New Roman" w:hAnsi="Times New Roman" w:cs="Times New Roman" w:hint="default"/>
    </w:rPr>
  </w:style>
  <w:style w:type="character" w:customStyle="1" w:styleId="unsichtbar">
    <w:name w:val="unsichtbar"/>
    <w:rsid w:val="00E543A5"/>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1169</Words>
  <Characters>7371</Characters>
  <Application>Microsoft Office Word</Application>
  <DocSecurity>0</DocSecurity>
  <Lines>61</Lines>
  <Paragraphs>17</Paragraphs>
  <ScaleCrop>false</ScaleCrop>
  <HeadingPairs>
    <vt:vector size="2" baseType="variant">
      <vt:variant>
        <vt:lpstr>Titel</vt:lpstr>
      </vt:variant>
      <vt:variant>
        <vt:i4>1</vt:i4>
      </vt:variant>
    </vt:vector>
  </HeadingPairs>
  <TitlesOfParts>
    <vt:vector size="1" baseType="lpstr">
      <vt:lpstr>09. Kausalität [VorlAT]</vt:lpstr>
    </vt:vector>
  </TitlesOfParts>
  <Company>Humboldt Universität zu Berlin</Company>
  <LinksUpToDate>false</LinksUpToDate>
  <CharactersWithSpaces>8523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09. Kausalität [VorlAT]</dc:title>
  <dc:subject/>
  <dc:creator>Professor Dr. Bernd Heinrich</dc:creator>
  <cp:keywords/>
  <cp:lastModifiedBy>Judith Schult</cp:lastModifiedBy>
  <cp:revision>2</cp:revision>
  <cp:lastPrinted>2020-10-28T12:25:00Z</cp:lastPrinted>
  <dcterms:created xsi:type="dcterms:W3CDTF">2024-10-10T14:44:00Z</dcterms:created>
  <dcterms:modified xsi:type="dcterms:W3CDTF">2024-10-10T14:44:00Z</dcterms:modified>
</cp:coreProperties>
</file>