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FEB9" w14:textId="4B780333" w:rsidR="00AF7055" w:rsidRPr="00365F39" w:rsidRDefault="00AF7055" w:rsidP="00035C13">
      <w:pPr>
        <w:tabs>
          <w:tab w:val="right" w:pos="10206"/>
        </w:tabs>
        <w:jc w:val="both"/>
        <w:rPr>
          <w:spacing w:val="-3"/>
          <w:sz w:val="16"/>
          <w:szCs w:val="16"/>
        </w:rPr>
      </w:pPr>
      <w:r>
        <w:rPr>
          <w:b/>
          <w:spacing w:val="-3"/>
        </w:rPr>
        <w:t xml:space="preserve">Prof. Dr. </w:t>
      </w:r>
      <w:r w:rsidR="00775470">
        <w:rPr>
          <w:b/>
          <w:spacing w:val="-3"/>
        </w:rPr>
        <w:t xml:space="preserve">Dr. h.c. </w:t>
      </w:r>
      <w:r>
        <w:rPr>
          <w:b/>
          <w:spacing w:val="-3"/>
        </w:rPr>
        <w:t>Bernd Heinrich/</w:t>
      </w:r>
      <w:r w:rsidR="00AA73A0">
        <w:rPr>
          <w:b/>
          <w:spacing w:val="-3"/>
        </w:rPr>
        <w:t>Pr</w:t>
      </w:r>
      <w:r w:rsidR="00BE588A">
        <w:rPr>
          <w:b/>
          <w:spacing w:val="-3"/>
        </w:rPr>
        <w:t>of</w:t>
      </w:r>
      <w:r w:rsidR="00AA73A0">
        <w:rPr>
          <w:b/>
          <w:spacing w:val="-3"/>
        </w:rPr>
        <w:t xml:space="preserve">. </w:t>
      </w:r>
      <w:r>
        <w:rPr>
          <w:b/>
          <w:spacing w:val="-3"/>
        </w:rPr>
        <w:t>Dr. Tobias Reinbacher</w:t>
      </w:r>
      <w:r>
        <w:rPr>
          <w:b/>
          <w:spacing w:val="-3"/>
        </w:rPr>
        <w:tab/>
        <w:t xml:space="preserve">Stand: 1. </w:t>
      </w:r>
      <w:r w:rsidR="009E758D">
        <w:rPr>
          <w:b/>
          <w:spacing w:val="-3"/>
        </w:rPr>
        <w:t>Oktober</w:t>
      </w:r>
      <w:r w:rsidR="00EF5B2A">
        <w:rPr>
          <w:b/>
          <w:spacing w:val="-3"/>
        </w:rPr>
        <w:t xml:space="preserve"> </w:t>
      </w:r>
      <w:r w:rsidR="001E0826">
        <w:rPr>
          <w:b/>
          <w:spacing w:val="-3"/>
        </w:rPr>
        <w:t>20</w:t>
      </w:r>
      <w:r w:rsidR="001C4006">
        <w:rPr>
          <w:b/>
          <w:spacing w:val="-3"/>
        </w:rPr>
        <w:t>2</w:t>
      </w:r>
      <w:r w:rsidR="00F26FBD">
        <w:rPr>
          <w:b/>
          <w:spacing w:val="-3"/>
        </w:rPr>
        <w:t>4</w:t>
      </w:r>
    </w:p>
    <w:p w14:paraId="4269E423" w14:textId="6155ED0F" w:rsidR="00AF7055" w:rsidRDefault="00AF7055" w:rsidP="00AF7055">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F26FBD">
        <w:rPr>
          <w:b/>
          <w:spacing w:val="-3"/>
        </w:rPr>
        <w:t> </w:t>
      </w:r>
      <w:r>
        <w:rPr>
          <w:b/>
          <w:spacing w:val="-3"/>
        </w:rPr>
        <w:t>41</w:t>
      </w:r>
    </w:p>
    <w:p w14:paraId="7361DFF7" w14:textId="77777777" w:rsidR="00AF7055" w:rsidRPr="00035C13" w:rsidRDefault="00AF7055" w:rsidP="00AF7055">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035C13">
        <w:rPr>
          <w:b/>
          <w:spacing w:val="-7"/>
          <w:sz w:val="52"/>
          <w:szCs w:val="52"/>
        </w:rPr>
        <w:t>Das Urteil</w:t>
      </w:r>
    </w:p>
    <w:p w14:paraId="0CD9EAFD" w14:textId="77777777" w:rsidR="00AF7055" w:rsidRDefault="00AF7055">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A21188">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373C25">
        <w:rPr>
          <w:rFonts w:ascii="Times New Roman" w:hAnsi="Times New Roman"/>
          <w:noProof/>
          <w:vanish/>
          <w:spacing w:val="-7"/>
          <w:sz w:val="60"/>
        </w:rPr>
        <w:t>1</w:t>
      </w:r>
      <w:r>
        <w:rPr>
          <w:rFonts w:ascii="Times New Roman" w:hAnsi="Times New Roman"/>
          <w:vanish/>
          <w:spacing w:val="-7"/>
          <w:sz w:val="60"/>
        </w:rPr>
        <w:fldChar w:fldCharType="end"/>
      </w:r>
    </w:p>
    <w:p w14:paraId="1F18A0E3" w14:textId="77777777" w:rsidR="00AF7055" w:rsidRPr="00AF3CBC" w:rsidRDefault="00AF7055" w:rsidP="00880221">
      <w:pPr>
        <w:widowControl/>
        <w:tabs>
          <w:tab w:val="left" w:pos="-720"/>
          <w:tab w:val="left" w:pos="284"/>
          <w:tab w:val="left" w:pos="576"/>
          <w:tab w:val="left" w:pos="864"/>
          <w:tab w:val="left" w:pos="1116"/>
          <w:tab w:val="left" w:pos="1404"/>
          <w:tab w:val="left" w:pos="1692"/>
          <w:tab w:val="left" w:pos="1980"/>
          <w:tab w:val="left" w:pos="2268"/>
          <w:tab w:val="left" w:pos="2880"/>
        </w:tabs>
        <w:spacing w:line="200" w:lineRule="exact"/>
        <w:ind w:left="284" w:hanging="284"/>
        <w:jc w:val="both"/>
        <w:rPr>
          <w:rFonts w:ascii="Times New Roman" w:hAnsi="Times New Roman"/>
          <w:spacing w:val="-2"/>
          <w:sz w:val="18"/>
          <w:szCs w:val="18"/>
        </w:rPr>
      </w:pPr>
      <w:r w:rsidRPr="00AF3CBC">
        <w:rPr>
          <w:rFonts w:ascii="Times New Roman" w:hAnsi="Times New Roman"/>
          <w:b/>
          <w:spacing w:val="-2"/>
          <w:sz w:val="18"/>
          <w:szCs w:val="18"/>
        </w:rPr>
        <w:t>I.</w:t>
      </w:r>
      <w:r w:rsidRPr="00AF3CBC">
        <w:rPr>
          <w:rFonts w:ascii="Times New Roman" w:hAnsi="Times New Roman"/>
          <w:b/>
          <w:spacing w:val="-2"/>
          <w:sz w:val="18"/>
          <w:szCs w:val="18"/>
        </w:rPr>
        <w:tab/>
        <w:t>Allgemeines</w:t>
      </w:r>
      <w:r w:rsidRPr="00AF3CBC">
        <w:rPr>
          <w:rFonts w:ascii="Times New Roman" w:hAnsi="Times New Roman"/>
          <w:spacing w:val="-2"/>
          <w:sz w:val="18"/>
          <w:szCs w:val="18"/>
        </w:rPr>
        <w:t xml:space="preserve">: Unter einem Urteil versteht man die formgebundene, mit besonderen Wirkungen versehene Entscheidung des erkennenden Gerichts. Dem Urteil muss immer eine Hauptverhandlung zu Grunde liegen. Es schließt den entsprechenden Verfahrensabschnitt oder Verfahrensteil ab, ihm kommt also insoweit eine </w:t>
      </w:r>
      <w:r w:rsidRPr="00AF3CBC">
        <w:rPr>
          <w:rFonts w:ascii="Times New Roman" w:hAnsi="Times New Roman"/>
          <w:b/>
          <w:spacing w:val="-2"/>
          <w:sz w:val="18"/>
          <w:szCs w:val="18"/>
        </w:rPr>
        <w:t>prozesserledigende Wirkung</w:t>
      </w:r>
      <w:r w:rsidRPr="00AF3CBC">
        <w:rPr>
          <w:rFonts w:ascii="Times New Roman" w:hAnsi="Times New Roman"/>
          <w:spacing w:val="-2"/>
          <w:sz w:val="18"/>
          <w:szCs w:val="18"/>
        </w:rPr>
        <w:t xml:space="preserve"> zu. Abzugrenzen ist das Urteil vom </w:t>
      </w:r>
      <w:r w:rsidRPr="00AF3CBC">
        <w:rPr>
          <w:rFonts w:ascii="Times New Roman" w:hAnsi="Times New Roman"/>
          <w:b/>
          <w:spacing w:val="-2"/>
          <w:sz w:val="18"/>
          <w:szCs w:val="18"/>
        </w:rPr>
        <w:t>Beschluss</w:t>
      </w:r>
      <w:r w:rsidRPr="00AF3CBC">
        <w:rPr>
          <w:rFonts w:ascii="Times New Roman" w:hAnsi="Times New Roman"/>
          <w:spacing w:val="-2"/>
          <w:sz w:val="18"/>
          <w:szCs w:val="18"/>
        </w:rPr>
        <w:t xml:space="preserve"> (prozessbegleitende oder -beendende Entscheidung des Gerichts) und der bloßen </w:t>
      </w:r>
      <w:r w:rsidRPr="00AF3CBC">
        <w:rPr>
          <w:rFonts w:ascii="Times New Roman" w:hAnsi="Times New Roman"/>
          <w:b/>
          <w:spacing w:val="-2"/>
          <w:sz w:val="18"/>
          <w:szCs w:val="18"/>
        </w:rPr>
        <w:t>Verfügung</w:t>
      </w:r>
      <w:r w:rsidRPr="00AF3CBC">
        <w:rPr>
          <w:rFonts w:ascii="Times New Roman" w:hAnsi="Times New Roman"/>
          <w:spacing w:val="-2"/>
          <w:sz w:val="18"/>
          <w:szCs w:val="18"/>
        </w:rPr>
        <w:t xml:space="preserve"> (prozessbegleitende Einzelanordnung des Vorsitzenden). </w:t>
      </w:r>
      <w:r w:rsidRPr="00AF3CBC">
        <w:rPr>
          <w:rFonts w:ascii="Times New Roman" w:hAnsi="Times New Roman"/>
          <w:b/>
          <w:spacing w:val="-2"/>
          <w:sz w:val="18"/>
          <w:szCs w:val="18"/>
        </w:rPr>
        <w:t>Zwei Formen</w:t>
      </w:r>
      <w:r w:rsidRPr="00AF3CBC">
        <w:rPr>
          <w:rFonts w:ascii="Times New Roman" w:hAnsi="Times New Roman"/>
          <w:spacing w:val="-2"/>
          <w:sz w:val="18"/>
          <w:szCs w:val="18"/>
        </w:rPr>
        <w:t xml:space="preserve"> des Urteils sind zu unterscheiden:</w:t>
      </w:r>
    </w:p>
    <w:p w14:paraId="0EE0E80E" w14:textId="2C064D11" w:rsidR="00AF7055" w:rsidRPr="00AF3CBC" w:rsidRDefault="00AF7055" w:rsidP="0088022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200" w:lineRule="exact"/>
        <w:ind w:left="284" w:hanging="284"/>
        <w:jc w:val="both"/>
        <w:rPr>
          <w:rFonts w:ascii="Times New Roman" w:hAnsi="Times New Roman"/>
          <w:spacing w:val="-2"/>
          <w:sz w:val="18"/>
          <w:szCs w:val="18"/>
        </w:rPr>
      </w:pPr>
      <w:r w:rsidRPr="00AF3CBC">
        <w:rPr>
          <w:rFonts w:ascii="Times New Roman" w:hAnsi="Times New Roman"/>
          <w:b/>
          <w:spacing w:val="-2"/>
          <w:sz w:val="18"/>
          <w:szCs w:val="18"/>
        </w:rPr>
        <w:tab/>
      </w:r>
      <w:r w:rsidRPr="00AF3CBC">
        <w:rPr>
          <w:rFonts w:ascii="Times New Roman" w:hAnsi="Times New Roman"/>
          <w:spacing w:val="-2"/>
          <w:sz w:val="18"/>
          <w:szCs w:val="18"/>
          <w:u w:val="single"/>
        </w:rPr>
        <w:t>1. Prozessurteil</w:t>
      </w:r>
      <w:r w:rsidRPr="00AF3CBC">
        <w:rPr>
          <w:rFonts w:ascii="Times New Roman" w:hAnsi="Times New Roman"/>
          <w:spacing w:val="-2"/>
          <w:sz w:val="18"/>
          <w:szCs w:val="18"/>
        </w:rPr>
        <w:t>:</w:t>
      </w:r>
      <w:r w:rsidRPr="00AF3CBC">
        <w:rPr>
          <w:rFonts w:ascii="Times New Roman" w:hAnsi="Times New Roman"/>
          <w:b/>
          <w:spacing w:val="-2"/>
          <w:sz w:val="18"/>
          <w:szCs w:val="18"/>
        </w:rPr>
        <w:t xml:space="preserve"> </w:t>
      </w:r>
      <w:r w:rsidRPr="00AF3CBC">
        <w:rPr>
          <w:rFonts w:ascii="Times New Roman" w:hAnsi="Times New Roman"/>
          <w:spacing w:val="-2"/>
          <w:sz w:val="18"/>
          <w:szCs w:val="18"/>
        </w:rPr>
        <w:t xml:space="preserve">Es erklärt die weitere Fortsetzung des Verfahrens für unzulässig (Bsp.: Einstellung </w:t>
      </w:r>
      <w:r w:rsidR="00510971" w:rsidRPr="00AF3CBC">
        <w:rPr>
          <w:rFonts w:ascii="Times New Roman" w:hAnsi="Times New Roman"/>
          <w:spacing w:val="-2"/>
          <w:sz w:val="18"/>
          <w:szCs w:val="18"/>
        </w:rPr>
        <w:t xml:space="preserve">nach </w:t>
      </w:r>
      <w:r w:rsidRPr="00AF3CBC">
        <w:rPr>
          <w:rFonts w:ascii="Times New Roman" w:hAnsi="Times New Roman"/>
          <w:spacing w:val="-2"/>
          <w:sz w:val="18"/>
          <w:szCs w:val="18"/>
        </w:rPr>
        <w:t>§ 260 III StPO).</w:t>
      </w:r>
    </w:p>
    <w:p w14:paraId="65330E6A" w14:textId="38743C1B" w:rsidR="00AF7055" w:rsidRPr="00AF3CBC" w:rsidRDefault="00AF7055" w:rsidP="0088022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200" w:lineRule="exact"/>
        <w:ind w:left="284" w:hanging="284"/>
        <w:jc w:val="both"/>
        <w:rPr>
          <w:rFonts w:ascii="Times New Roman" w:hAnsi="Times New Roman"/>
          <w:b/>
          <w:spacing w:val="-2"/>
          <w:sz w:val="18"/>
          <w:szCs w:val="18"/>
        </w:rPr>
      </w:pPr>
      <w:r w:rsidRPr="00AF3CBC">
        <w:rPr>
          <w:rFonts w:ascii="Times New Roman" w:hAnsi="Times New Roman"/>
          <w:b/>
          <w:spacing w:val="-2"/>
          <w:sz w:val="18"/>
          <w:szCs w:val="18"/>
        </w:rPr>
        <w:tab/>
      </w:r>
      <w:r w:rsidRPr="00AF3CBC">
        <w:rPr>
          <w:rFonts w:ascii="Times New Roman" w:hAnsi="Times New Roman"/>
          <w:spacing w:val="-2"/>
          <w:sz w:val="18"/>
          <w:szCs w:val="18"/>
          <w:u w:val="single"/>
        </w:rPr>
        <w:t>2. Sachurteil:</w:t>
      </w:r>
      <w:r w:rsidRPr="00AF3CBC">
        <w:rPr>
          <w:rFonts w:ascii="Times New Roman" w:hAnsi="Times New Roman"/>
          <w:spacing w:val="-2"/>
          <w:sz w:val="18"/>
          <w:szCs w:val="18"/>
        </w:rPr>
        <w:t xml:space="preserve"> Es nimmt zum materiellen Anklagevorwurf Stellung mit der Rechtsfolge Freispruch oder Verurteilung.</w:t>
      </w:r>
    </w:p>
    <w:p w14:paraId="72BCF496" w14:textId="77777777" w:rsidR="00AF7055" w:rsidRPr="00AF3CBC" w:rsidRDefault="00AF7055" w:rsidP="00880221">
      <w:pPr>
        <w:widowControl/>
        <w:tabs>
          <w:tab w:val="left" w:pos="-720"/>
          <w:tab w:val="left" w:pos="0"/>
          <w:tab w:val="left" w:pos="284"/>
          <w:tab w:val="left" w:pos="864"/>
          <w:tab w:val="left" w:pos="1116"/>
          <w:tab w:val="left" w:pos="1404"/>
          <w:tab w:val="left" w:pos="1692"/>
          <w:tab w:val="left" w:pos="1980"/>
          <w:tab w:val="left" w:pos="2268"/>
          <w:tab w:val="left" w:pos="2880"/>
        </w:tabs>
        <w:spacing w:before="120" w:line="200" w:lineRule="exact"/>
        <w:ind w:left="284" w:hanging="284"/>
        <w:jc w:val="both"/>
        <w:rPr>
          <w:rFonts w:ascii="Times New Roman" w:hAnsi="Times New Roman"/>
          <w:b/>
          <w:spacing w:val="-2"/>
          <w:sz w:val="18"/>
          <w:szCs w:val="18"/>
        </w:rPr>
      </w:pPr>
      <w:r w:rsidRPr="00AF3CBC">
        <w:rPr>
          <w:rFonts w:ascii="Times New Roman" w:hAnsi="Times New Roman"/>
          <w:b/>
          <w:spacing w:val="-2"/>
          <w:sz w:val="18"/>
          <w:szCs w:val="18"/>
        </w:rPr>
        <w:t>II.</w:t>
      </w:r>
      <w:r w:rsidRPr="00AF3CBC">
        <w:rPr>
          <w:rFonts w:ascii="Times New Roman" w:hAnsi="Times New Roman"/>
          <w:b/>
          <w:spacing w:val="-2"/>
          <w:sz w:val="18"/>
          <w:szCs w:val="18"/>
        </w:rPr>
        <w:tab/>
        <w:t>Grundsätze in Bezug auf das Zustandekommen eines Urteils (Urteilsfindung)</w:t>
      </w:r>
    </w:p>
    <w:p w14:paraId="560016E7" w14:textId="5E32A19D" w:rsidR="00AF7055" w:rsidRPr="00AF3CBC" w:rsidRDefault="00AF7055" w:rsidP="00880221">
      <w:pPr>
        <w:widowControl/>
        <w:tabs>
          <w:tab w:val="left" w:pos="-720"/>
          <w:tab w:val="left" w:pos="0"/>
          <w:tab w:val="left" w:pos="288"/>
          <w:tab w:val="left" w:pos="567"/>
          <w:tab w:val="left" w:pos="864"/>
          <w:tab w:val="left" w:pos="1116"/>
          <w:tab w:val="left" w:pos="1404"/>
          <w:tab w:val="left" w:pos="1692"/>
          <w:tab w:val="left" w:pos="1980"/>
          <w:tab w:val="left" w:pos="2268"/>
          <w:tab w:val="left" w:pos="2880"/>
        </w:tabs>
        <w:spacing w:line="200" w:lineRule="exact"/>
        <w:ind w:left="576" w:hanging="576"/>
        <w:jc w:val="both"/>
        <w:rPr>
          <w:rFonts w:ascii="Times New Roman" w:hAnsi="Times New Roman"/>
          <w:spacing w:val="-2"/>
          <w:sz w:val="18"/>
          <w:szCs w:val="18"/>
        </w:rPr>
      </w:pPr>
      <w:r w:rsidRPr="00AF3CBC">
        <w:rPr>
          <w:rFonts w:ascii="Times New Roman" w:hAnsi="Times New Roman"/>
          <w:b/>
          <w:spacing w:val="-2"/>
          <w:sz w:val="18"/>
          <w:szCs w:val="18"/>
        </w:rPr>
        <w:tab/>
      </w:r>
      <w:r w:rsidRPr="00AF3CBC">
        <w:rPr>
          <w:rFonts w:ascii="Times New Roman" w:hAnsi="Times New Roman"/>
          <w:spacing w:val="-2"/>
          <w:sz w:val="18"/>
          <w:szCs w:val="18"/>
          <w:u w:val="single"/>
        </w:rPr>
        <w:t xml:space="preserve">1. </w:t>
      </w:r>
      <w:r w:rsidRPr="00AF3CBC">
        <w:rPr>
          <w:rFonts w:ascii="Times New Roman" w:hAnsi="Times New Roman"/>
          <w:spacing w:val="-2"/>
          <w:sz w:val="18"/>
          <w:szCs w:val="18"/>
          <w:u w:val="single"/>
        </w:rPr>
        <w:tab/>
        <w:t>Umfang:</w:t>
      </w:r>
      <w:r w:rsidRPr="00AF3CBC">
        <w:rPr>
          <w:rFonts w:ascii="Times New Roman" w:hAnsi="Times New Roman"/>
          <w:spacing w:val="-2"/>
          <w:sz w:val="18"/>
          <w:szCs w:val="18"/>
        </w:rPr>
        <w:t xml:space="preserve"> Beschränkung der Urteilsfindung durch Anklage (§§ 264 I, 200 StPO) und den darauf bezogenen Eröffnungsbeschluss des Gerichts (§ 207 StPO, </w:t>
      </w:r>
      <w:r w:rsidR="001863DB" w:rsidRPr="00AF3CBC">
        <w:rPr>
          <w:rFonts w:ascii="Times New Roman" w:hAnsi="Times New Roman"/>
          <w:spacing w:val="-2"/>
          <w:sz w:val="18"/>
          <w:szCs w:val="18"/>
        </w:rPr>
        <w:t>§</w:t>
      </w:r>
      <w:r w:rsidRPr="00AF3CBC">
        <w:rPr>
          <w:rFonts w:ascii="Times New Roman" w:hAnsi="Times New Roman"/>
          <w:spacing w:val="-2"/>
          <w:sz w:val="18"/>
          <w:szCs w:val="18"/>
        </w:rPr>
        <w:t>§ 264 II, 265 StPO). Gegenstand des Urteils ist die hierin beschriebene „Tat“ = in der Anklage beschriebener einheitlicher Lebensvorgang</w:t>
      </w:r>
      <w:r w:rsidR="001817A1" w:rsidRPr="00AF3CBC">
        <w:rPr>
          <w:rFonts w:ascii="Times New Roman" w:hAnsi="Times New Roman"/>
          <w:spacing w:val="-2"/>
          <w:sz w:val="18"/>
          <w:szCs w:val="18"/>
        </w:rPr>
        <w:t>, sog. prozessualer Tatbegriff</w:t>
      </w:r>
      <w:r w:rsidR="0096717D" w:rsidRPr="00AF3CBC">
        <w:rPr>
          <w:rFonts w:ascii="Times New Roman" w:hAnsi="Times New Roman"/>
          <w:spacing w:val="-2"/>
          <w:sz w:val="18"/>
          <w:szCs w:val="18"/>
        </w:rPr>
        <w:t xml:space="preserve"> (vgl. Arbeitsblatt Nr.</w:t>
      </w:r>
      <w:r w:rsidR="00510971" w:rsidRPr="00AF3CBC">
        <w:rPr>
          <w:rFonts w:ascii="Times New Roman" w:hAnsi="Times New Roman"/>
          <w:spacing w:val="-2"/>
          <w:sz w:val="18"/>
          <w:szCs w:val="18"/>
        </w:rPr>
        <w:t> </w:t>
      </w:r>
      <w:r w:rsidR="0096717D" w:rsidRPr="00AF3CBC">
        <w:rPr>
          <w:rFonts w:ascii="Times New Roman" w:hAnsi="Times New Roman"/>
          <w:spacing w:val="-2"/>
          <w:sz w:val="18"/>
          <w:szCs w:val="18"/>
        </w:rPr>
        <w:t>5</w:t>
      </w:r>
      <w:r w:rsidR="0096717D" w:rsidRPr="00EF5524">
        <w:rPr>
          <w:rFonts w:ascii="Times New Roman" w:hAnsi="Times New Roman"/>
          <w:spacing w:val="-2"/>
          <w:sz w:val="19"/>
          <w:szCs w:val="19"/>
        </w:rPr>
        <w:t>1)</w:t>
      </w:r>
      <w:r w:rsidRPr="00EF5524">
        <w:rPr>
          <w:rFonts w:ascii="Times New Roman" w:hAnsi="Times New Roman"/>
          <w:spacing w:val="-2"/>
          <w:sz w:val="19"/>
          <w:szCs w:val="19"/>
        </w:rPr>
        <w:t xml:space="preserve">. </w:t>
      </w:r>
      <w:r w:rsidRPr="00AF3CBC">
        <w:rPr>
          <w:rFonts w:ascii="Times New Roman" w:hAnsi="Times New Roman"/>
          <w:spacing w:val="-2"/>
          <w:sz w:val="18"/>
          <w:szCs w:val="18"/>
        </w:rPr>
        <w:t>Soll wegen einer anderen „Tat“ verurteilt werden, bedarf es einer Nachtragsanklage, § 266 StPO. Soll die Tat im Vergleich zur Anklage lediglich anders rechtlich beurteilt werden, genügt ein richterlicher Hinweis nach § 265 StPO.</w:t>
      </w:r>
    </w:p>
    <w:p w14:paraId="5C7B71DC" w14:textId="0E5C354F" w:rsidR="00AF7055" w:rsidRPr="00AF3CBC" w:rsidRDefault="00AF7055" w:rsidP="00880221">
      <w:pPr>
        <w:widowControl/>
        <w:tabs>
          <w:tab w:val="left" w:pos="-720"/>
          <w:tab w:val="left" w:pos="0"/>
          <w:tab w:val="left" w:pos="288"/>
          <w:tab w:val="left" w:pos="567"/>
          <w:tab w:val="left" w:pos="864"/>
          <w:tab w:val="left" w:pos="1116"/>
          <w:tab w:val="left" w:pos="1404"/>
          <w:tab w:val="left" w:pos="1692"/>
          <w:tab w:val="left" w:pos="1980"/>
          <w:tab w:val="left" w:pos="2268"/>
          <w:tab w:val="left" w:pos="2880"/>
        </w:tabs>
        <w:spacing w:line="200" w:lineRule="exact"/>
        <w:jc w:val="both"/>
        <w:rPr>
          <w:rFonts w:ascii="Times New Roman" w:hAnsi="Times New Roman"/>
          <w:spacing w:val="-2"/>
          <w:sz w:val="18"/>
          <w:szCs w:val="18"/>
        </w:rPr>
      </w:pPr>
      <w:r w:rsidRPr="00AF3CBC">
        <w:rPr>
          <w:rFonts w:ascii="Times New Roman" w:hAnsi="Times New Roman"/>
          <w:spacing w:val="-2"/>
          <w:sz w:val="18"/>
          <w:szCs w:val="18"/>
        </w:rPr>
        <w:tab/>
      </w:r>
      <w:r w:rsidRPr="00AF3CBC">
        <w:rPr>
          <w:rFonts w:ascii="Times New Roman" w:hAnsi="Times New Roman"/>
          <w:spacing w:val="-2"/>
          <w:sz w:val="18"/>
          <w:szCs w:val="18"/>
          <w:u w:val="single"/>
        </w:rPr>
        <w:t xml:space="preserve">2. </w:t>
      </w:r>
      <w:r w:rsidRPr="00AF3CBC">
        <w:rPr>
          <w:rFonts w:ascii="Times New Roman" w:hAnsi="Times New Roman"/>
          <w:spacing w:val="-2"/>
          <w:sz w:val="18"/>
          <w:szCs w:val="18"/>
          <w:u w:val="single"/>
        </w:rPr>
        <w:tab/>
        <w:t>Grundsatz der freien richterlichen Beweiswürdigung (§ 261 StPO):</w:t>
      </w:r>
      <w:r w:rsidRPr="00AF3CBC">
        <w:rPr>
          <w:rFonts w:ascii="Times New Roman" w:hAnsi="Times New Roman"/>
          <w:spacing w:val="-2"/>
          <w:sz w:val="18"/>
          <w:szCs w:val="18"/>
        </w:rPr>
        <w:t xml:space="preserve"> (vgl. hierzu Arbeitsblatt Nr. </w:t>
      </w:r>
      <w:r w:rsidRPr="00EF5524">
        <w:rPr>
          <w:rFonts w:ascii="Times New Roman" w:hAnsi="Times New Roman"/>
          <w:spacing w:val="-2"/>
          <w:sz w:val="19"/>
          <w:szCs w:val="19"/>
        </w:rPr>
        <w:t>39)</w:t>
      </w:r>
    </w:p>
    <w:p w14:paraId="06CBEBE1" w14:textId="39FB5873" w:rsidR="00AF7055" w:rsidRPr="00AF3CBC" w:rsidRDefault="00AF7055" w:rsidP="00880221">
      <w:pPr>
        <w:widowControl/>
        <w:tabs>
          <w:tab w:val="left" w:pos="-720"/>
          <w:tab w:val="left" w:pos="288"/>
          <w:tab w:val="left" w:pos="426"/>
          <w:tab w:val="left" w:pos="567"/>
          <w:tab w:val="left" w:pos="864"/>
          <w:tab w:val="left" w:pos="1116"/>
          <w:tab w:val="left" w:pos="1404"/>
          <w:tab w:val="left" w:pos="1692"/>
          <w:tab w:val="left" w:pos="1980"/>
          <w:tab w:val="left" w:pos="2268"/>
          <w:tab w:val="left" w:pos="2880"/>
        </w:tabs>
        <w:spacing w:line="200" w:lineRule="exact"/>
        <w:ind w:left="567" w:hanging="567"/>
        <w:jc w:val="both"/>
        <w:rPr>
          <w:rFonts w:ascii="Times New Roman" w:hAnsi="Times New Roman"/>
          <w:b/>
          <w:spacing w:val="-2"/>
          <w:sz w:val="18"/>
          <w:szCs w:val="18"/>
        </w:rPr>
      </w:pPr>
      <w:r w:rsidRPr="00AF3CBC">
        <w:rPr>
          <w:rFonts w:ascii="Times New Roman" w:hAnsi="Times New Roman"/>
          <w:spacing w:val="-2"/>
          <w:sz w:val="18"/>
          <w:szCs w:val="18"/>
        </w:rPr>
        <w:tab/>
      </w:r>
      <w:r w:rsidRPr="00AF3CBC">
        <w:rPr>
          <w:rFonts w:ascii="Times New Roman" w:hAnsi="Times New Roman"/>
          <w:spacing w:val="-2"/>
          <w:sz w:val="18"/>
          <w:szCs w:val="18"/>
          <w:u w:val="single"/>
        </w:rPr>
        <w:t xml:space="preserve">3. </w:t>
      </w:r>
      <w:r w:rsidRPr="00AF3CBC">
        <w:rPr>
          <w:rFonts w:ascii="Times New Roman" w:hAnsi="Times New Roman"/>
          <w:spacing w:val="-2"/>
          <w:sz w:val="18"/>
          <w:szCs w:val="18"/>
          <w:u w:val="single"/>
        </w:rPr>
        <w:tab/>
        <w:t>Vorfragen:</w:t>
      </w:r>
      <w:r w:rsidRPr="00AF3CBC">
        <w:rPr>
          <w:rFonts w:ascii="Times New Roman" w:hAnsi="Times New Roman"/>
          <w:spacing w:val="-2"/>
          <w:sz w:val="18"/>
          <w:szCs w:val="18"/>
        </w:rPr>
        <w:t xml:space="preserve"> Nach § 262 </w:t>
      </w:r>
      <w:r w:rsidR="00FA6A31" w:rsidRPr="00AF3CBC">
        <w:rPr>
          <w:rFonts w:ascii="Times New Roman" w:hAnsi="Times New Roman"/>
          <w:spacing w:val="-2"/>
          <w:sz w:val="18"/>
          <w:szCs w:val="18"/>
        </w:rPr>
        <w:t xml:space="preserve">I </w:t>
      </w:r>
      <w:r w:rsidRPr="00AF3CBC">
        <w:rPr>
          <w:rFonts w:ascii="Times New Roman" w:hAnsi="Times New Roman"/>
          <w:spacing w:val="-2"/>
          <w:sz w:val="18"/>
          <w:szCs w:val="18"/>
        </w:rPr>
        <w:t xml:space="preserve">StPO hat das Gericht auch über zivilrechtliche Vorfragen nach den für das Strafrecht geltenden Verfahrens- und Beweisregeln zu urteilen. Für öffentlich-rechtliche Vorfragen gilt </w:t>
      </w:r>
      <w:r w:rsidR="00510971" w:rsidRPr="00AF3CBC">
        <w:rPr>
          <w:rFonts w:ascii="Times New Roman" w:hAnsi="Times New Roman"/>
          <w:spacing w:val="-2"/>
          <w:sz w:val="18"/>
          <w:szCs w:val="18"/>
        </w:rPr>
        <w:t>die Norm</w:t>
      </w:r>
      <w:r w:rsidRPr="00AF3CBC">
        <w:rPr>
          <w:rFonts w:ascii="Times New Roman" w:hAnsi="Times New Roman"/>
          <w:spacing w:val="-2"/>
          <w:sz w:val="18"/>
          <w:szCs w:val="18"/>
        </w:rPr>
        <w:t xml:space="preserve"> analog.</w:t>
      </w:r>
    </w:p>
    <w:p w14:paraId="5824B9E1" w14:textId="7A7D1841" w:rsidR="00AF7055" w:rsidRPr="00AF3CBC" w:rsidRDefault="00AF7055" w:rsidP="00880221">
      <w:pPr>
        <w:widowControl/>
        <w:tabs>
          <w:tab w:val="left" w:pos="-720"/>
          <w:tab w:val="left" w:pos="284"/>
          <w:tab w:val="left" w:pos="576"/>
          <w:tab w:val="left" w:pos="864"/>
          <w:tab w:val="left" w:pos="1116"/>
          <w:tab w:val="left" w:pos="1404"/>
          <w:tab w:val="left" w:pos="1692"/>
          <w:tab w:val="left" w:pos="1980"/>
          <w:tab w:val="left" w:pos="2268"/>
          <w:tab w:val="left" w:pos="2880"/>
        </w:tabs>
        <w:spacing w:before="120" w:line="200" w:lineRule="exact"/>
        <w:ind w:left="284" w:hanging="284"/>
        <w:jc w:val="both"/>
        <w:rPr>
          <w:rFonts w:ascii="Times New Roman" w:hAnsi="Times New Roman"/>
          <w:b/>
          <w:spacing w:val="-2"/>
          <w:sz w:val="18"/>
          <w:szCs w:val="18"/>
        </w:rPr>
      </w:pPr>
      <w:r w:rsidRPr="00AF3CBC">
        <w:rPr>
          <w:rFonts w:ascii="Times New Roman" w:hAnsi="Times New Roman"/>
          <w:b/>
          <w:spacing w:val="-2"/>
          <w:sz w:val="18"/>
          <w:szCs w:val="18"/>
        </w:rPr>
        <w:t>III.</w:t>
      </w:r>
      <w:r w:rsidRPr="00AF3CBC">
        <w:rPr>
          <w:rFonts w:ascii="Times New Roman" w:hAnsi="Times New Roman"/>
          <w:b/>
          <w:spacing w:val="-2"/>
          <w:sz w:val="18"/>
          <w:szCs w:val="18"/>
        </w:rPr>
        <w:tab/>
        <w:t xml:space="preserve">Beratung und Abstimmung (§ 260 StPO): </w:t>
      </w:r>
      <w:r w:rsidRPr="00AF3CBC">
        <w:rPr>
          <w:rFonts w:ascii="Times New Roman" w:hAnsi="Times New Roman"/>
          <w:spacing w:val="-2"/>
          <w:sz w:val="18"/>
          <w:szCs w:val="18"/>
        </w:rPr>
        <w:t>Soweit das Gesetz nichts anderes bestimmt, entscheidet das Gericht nach Beratung mit absoluter Mehrheit der Stimmen, §</w:t>
      </w:r>
      <w:r w:rsidR="00510971" w:rsidRPr="00AF3CBC">
        <w:rPr>
          <w:rFonts w:ascii="Times New Roman" w:hAnsi="Times New Roman"/>
          <w:spacing w:val="-2"/>
          <w:sz w:val="18"/>
          <w:szCs w:val="18"/>
        </w:rPr>
        <w:t> </w:t>
      </w:r>
      <w:r w:rsidRPr="00AF3CBC">
        <w:rPr>
          <w:rFonts w:ascii="Times New Roman" w:hAnsi="Times New Roman"/>
          <w:spacing w:val="-2"/>
          <w:sz w:val="18"/>
          <w:szCs w:val="18"/>
        </w:rPr>
        <w:t>196 I GVG. Wichtigste Ausnahme hiervon ist die Entscheidung über die Schuldfrage und die Rechtsfolgen der Tat, für die es einer Mehrheit von zwei Dritteln der Stimmen bedarf, § 263 I StPO.</w:t>
      </w:r>
    </w:p>
    <w:p w14:paraId="13FBCDD9" w14:textId="2C1865B5" w:rsidR="00AF7055" w:rsidRPr="00AF3CBC" w:rsidRDefault="00AF7055" w:rsidP="00880221">
      <w:pPr>
        <w:widowControl/>
        <w:tabs>
          <w:tab w:val="left" w:pos="-720"/>
          <w:tab w:val="left" w:pos="288"/>
          <w:tab w:val="left" w:pos="567"/>
          <w:tab w:val="left" w:pos="864"/>
          <w:tab w:val="left" w:pos="1116"/>
          <w:tab w:val="left" w:pos="1404"/>
          <w:tab w:val="left" w:pos="1692"/>
          <w:tab w:val="left" w:pos="1980"/>
          <w:tab w:val="left" w:pos="2268"/>
          <w:tab w:val="left" w:pos="2880"/>
        </w:tabs>
        <w:spacing w:before="120" w:line="200" w:lineRule="exact"/>
        <w:ind w:left="284" w:hanging="284"/>
        <w:jc w:val="both"/>
        <w:rPr>
          <w:rFonts w:ascii="Times New Roman" w:hAnsi="Times New Roman"/>
          <w:spacing w:val="-2"/>
          <w:sz w:val="18"/>
          <w:szCs w:val="18"/>
        </w:rPr>
      </w:pPr>
      <w:r w:rsidRPr="00AF3CBC">
        <w:rPr>
          <w:rFonts w:ascii="Times New Roman" w:hAnsi="Times New Roman"/>
          <w:b/>
          <w:spacing w:val="-2"/>
          <w:sz w:val="18"/>
          <w:szCs w:val="18"/>
        </w:rPr>
        <w:t>IV.</w:t>
      </w:r>
      <w:r w:rsidR="001D382C" w:rsidRPr="00AF3CBC">
        <w:rPr>
          <w:rFonts w:ascii="Times New Roman" w:hAnsi="Times New Roman"/>
          <w:b/>
          <w:spacing w:val="-2"/>
          <w:sz w:val="18"/>
          <w:szCs w:val="18"/>
        </w:rPr>
        <w:tab/>
      </w:r>
      <w:r w:rsidRPr="00AF3CBC">
        <w:rPr>
          <w:rFonts w:ascii="Times New Roman" w:hAnsi="Times New Roman"/>
          <w:b/>
          <w:spacing w:val="-2"/>
          <w:sz w:val="18"/>
          <w:szCs w:val="18"/>
        </w:rPr>
        <w:t xml:space="preserve">Urteilsverkündung (§ 268 StPO): </w:t>
      </w:r>
      <w:r w:rsidRPr="00AF3CBC">
        <w:rPr>
          <w:rFonts w:ascii="Times New Roman" w:hAnsi="Times New Roman"/>
          <w:spacing w:val="-2"/>
          <w:sz w:val="18"/>
          <w:szCs w:val="18"/>
        </w:rPr>
        <w:t xml:space="preserve">Das Urteil wird am Schluss der Verhandlung durch den Vorsitzenden (§ 238 I StPO) </w:t>
      </w:r>
      <w:r w:rsidR="006A7546" w:rsidRPr="00AF3CBC">
        <w:rPr>
          <w:rFonts w:ascii="Times New Roman" w:hAnsi="Times New Roman"/>
          <w:spacing w:val="-2"/>
          <w:sz w:val="18"/>
          <w:szCs w:val="18"/>
        </w:rPr>
        <w:t>v</w:t>
      </w:r>
      <w:r w:rsidRPr="00AF3CBC">
        <w:rPr>
          <w:rFonts w:ascii="Times New Roman" w:hAnsi="Times New Roman"/>
          <w:spacing w:val="-2"/>
          <w:sz w:val="18"/>
          <w:szCs w:val="18"/>
        </w:rPr>
        <w:t>erkündet. Dabei wird der Tenor verlesen und die Urteilsgründe ihrem wesentlichen Inhalt nach eröffnet</w:t>
      </w:r>
      <w:r w:rsidR="00510971" w:rsidRPr="00AF3CBC">
        <w:rPr>
          <w:rFonts w:ascii="Times New Roman" w:hAnsi="Times New Roman"/>
          <w:spacing w:val="-2"/>
          <w:sz w:val="18"/>
          <w:szCs w:val="18"/>
        </w:rPr>
        <w:t xml:space="preserve"> (§ 268 II 1 StPO)</w:t>
      </w:r>
      <w:r w:rsidRPr="00AF3CBC">
        <w:rPr>
          <w:rFonts w:ascii="Times New Roman" w:hAnsi="Times New Roman"/>
          <w:spacing w:val="-2"/>
          <w:sz w:val="18"/>
          <w:szCs w:val="18"/>
        </w:rPr>
        <w:t xml:space="preserve">. Anschließend ergehen eventuelle </w:t>
      </w:r>
      <w:r w:rsidR="00AA73A0" w:rsidRPr="00AF3CBC">
        <w:rPr>
          <w:rFonts w:ascii="Times New Roman" w:hAnsi="Times New Roman"/>
          <w:spacing w:val="-2"/>
          <w:sz w:val="18"/>
          <w:szCs w:val="18"/>
        </w:rPr>
        <w:t xml:space="preserve">urteilsbegleitende </w:t>
      </w:r>
      <w:r w:rsidRPr="00AF3CBC">
        <w:rPr>
          <w:rFonts w:ascii="Times New Roman" w:hAnsi="Times New Roman"/>
          <w:spacing w:val="-2"/>
          <w:sz w:val="18"/>
          <w:szCs w:val="18"/>
        </w:rPr>
        <w:t>Beschlüsse (Bsp.: Bewährungsbeschluss). Am Ende erfolgt die Rechtsmittelbelehrung, §</w:t>
      </w:r>
      <w:r w:rsidR="00510971" w:rsidRPr="00AF3CBC">
        <w:rPr>
          <w:rFonts w:ascii="Times New Roman" w:hAnsi="Times New Roman"/>
          <w:spacing w:val="-2"/>
          <w:sz w:val="18"/>
          <w:szCs w:val="18"/>
        </w:rPr>
        <w:t> </w:t>
      </w:r>
      <w:r w:rsidRPr="00AF3CBC">
        <w:rPr>
          <w:rFonts w:ascii="Times New Roman" w:hAnsi="Times New Roman"/>
          <w:spacing w:val="-2"/>
          <w:sz w:val="18"/>
          <w:szCs w:val="18"/>
        </w:rPr>
        <w:t>35a StPO.</w:t>
      </w:r>
    </w:p>
    <w:p w14:paraId="3E14C0E5" w14:textId="77777777" w:rsidR="00AF7055" w:rsidRPr="00AF3CBC" w:rsidRDefault="006A7546" w:rsidP="0088022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before="120" w:line="200" w:lineRule="exact"/>
        <w:jc w:val="both"/>
        <w:rPr>
          <w:rFonts w:ascii="Times New Roman" w:hAnsi="Times New Roman"/>
          <w:b/>
          <w:spacing w:val="-2"/>
          <w:sz w:val="18"/>
          <w:szCs w:val="18"/>
        </w:rPr>
      </w:pPr>
      <w:r w:rsidRPr="00AF3CBC">
        <w:rPr>
          <w:rFonts w:ascii="Times New Roman" w:hAnsi="Times New Roman"/>
          <w:b/>
          <w:spacing w:val="-2"/>
          <w:sz w:val="18"/>
          <w:szCs w:val="18"/>
        </w:rPr>
        <w:t>V.</w:t>
      </w:r>
      <w:r w:rsidRPr="00AF3CBC">
        <w:rPr>
          <w:rFonts w:ascii="Times New Roman" w:hAnsi="Times New Roman"/>
          <w:b/>
          <w:spacing w:val="-2"/>
          <w:sz w:val="18"/>
          <w:szCs w:val="18"/>
        </w:rPr>
        <w:tab/>
        <w:t>Der Inhalt des Strafurteils:</w:t>
      </w:r>
      <w:r w:rsidR="00AF7055" w:rsidRPr="00AF3CBC">
        <w:rPr>
          <w:rFonts w:ascii="Times New Roman" w:hAnsi="Times New Roman"/>
          <w:b/>
          <w:spacing w:val="-2"/>
          <w:sz w:val="18"/>
          <w:szCs w:val="18"/>
        </w:rPr>
        <w:t xml:space="preserve"> </w:t>
      </w:r>
      <w:r w:rsidR="00AF7055" w:rsidRPr="00AF3CBC">
        <w:rPr>
          <w:rFonts w:ascii="Times New Roman" w:hAnsi="Times New Roman"/>
          <w:spacing w:val="-2"/>
          <w:sz w:val="18"/>
          <w:szCs w:val="18"/>
        </w:rPr>
        <w:t>Zu den Bestandteilen der Urteilsurkunde (nicht der mündlichen Begründung) gehören:</w:t>
      </w:r>
    </w:p>
    <w:p w14:paraId="3D38DA79" w14:textId="45E9CE56" w:rsidR="00AF7055" w:rsidRPr="00AF3CBC" w:rsidRDefault="00AF7055" w:rsidP="00880221">
      <w:pPr>
        <w:widowControl/>
        <w:tabs>
          <w:tab w:val="left" w:pos="-720"/>
          <w:tab w:val="left" w:pos="288"/>
          <w:tab w:val="left" w:pos="567"/>
          <w:tab w:val="left" w:pos="864"/>
          <w:tab w:val="left" w:pos="1116"/>
          <w:tab w:val="left" w:pos="1404"/>
          <w:tab w:val="left" w:pos="1692"/>
          <w:tab w:val="left" w:pos="1980"/>
          <w:tab w:val="left" w:pos="2268"/>
          <w:tab w:val="left" w:pos="2880"/>
        </w:tabs>
        <w:spacing w:line="200" w:lineRule="exact"/>
        <w:ind w:left="567" w:hanging="567"/>
        <w:jc w:val="both"/>
        <w:rPr>
          <w:rFonts w:ascii="Times New Roman" w:hAnsi="Times New Roman"/>
          <w:spacing w:val="-2"/>
          <w:sz w:val="18"/>
          <w:szCs w:val="18"/>
        </w:rPr>
      </w:pPr>
      <w:r w:rsidRPr="00AF3CBC">
        <w:rPr>
          <w:rFonts w:ascii="Times New Roman" w:hAnsi="Times New Roman"/>
          <w:spacing w:val="-2"/>
          <w:sz w:val="18"/>
          <w:szCs w:val="18"/>
        </w:rPr>
        <w:tab/>
      </w:r>
      <w:r w:rsidRPr="00AF3CBC">
        <w:rPr>
          <w:rFonts w:ascii="Times New Roman" w:hAnsi="Times New Roman"/>
          <w:spacing w:val="-2"/>
          <w:sz w:val="18"/>
          <w:szCs w:val="18"/>
          <w:u w:val="single"/>
        </w:rPr>
        <w:t xml:space="preserve">1. </w:t>
      </w:r>
      <w:r w:rsidRPr="00AF3CBC">
        <w:rPr>
          <w:rFonts w:ascii="Times New Roman" w:hAnsi="Times New Roman"/>
          <w:spacing w:val="-2"/>
          <w:sz w:val="18"/>
          <w:szCs w:val="18"/>
          <w:u w:val="single"/>
        </w:rPr>
        <w:tab/>
        <w:t>Rubrum (Urteilskopf):</w:t>
      </w:r>
      <w:r w:rsidRPr="00AF3CBC">
        <w:rPr>
          <w:rFonts w:ascii="Times New Roman" w:hAnsi="Times New Roman"/>
          <w:spacing w:val="-2"/>
          <w:sz w:val="18"/>
          <w:szCs w:val="18"/>
        </w:rPr>
        <w:t xml:space="preserve"> Hier wird die Urkunde als </w:t>
      </w:r>
      <w:r w:rsidR="0096717D" w:rsidRPr="00AF3CBC">
        <w:rPr>
          <w:rFonts w:ascii="Times New Roman" w:hAnsi="Times New Roman"/>
          <w:spacing w:val="-2"/>
          <w:sz w:val="18"/>
          <w:szCs w:val="18"/>
        </w:rPr>
        <w:t>„</w:t>
      </w:r>
      <w:r w:rsidRPr="00AF3CBC">
        <w:rPr>
          <w:rFonts w:ascii="Times New Roman" w:hAnsi="Times New Roman"/>
          <w:spacing w:val="-2"/>
          <w:sz w:val="18"/>
          <w:szCs w:val="18"/>
        </w:rPr>
        <w:t>Urteil“ bezeichnet. Das Urteil ergeht „im Namen des Volkes“ (§ 268</w:t>
      </w:r>
      <w:r w:rsidR="00FA6A31" w:rsidRPr="00AF3CBC">
        <w:rPr>
          <w:rFonts w:ascii="Times New Roman" w:hAnsi="Times New Roman"/>
          <w:spacing w:val="-2"/>
          <w:sz w:val="18"/>
          <w:szCs w:val="18"/>
        </w:rPr>
        <w:t xml:space="preserve"> I</w:t>
      </w:r>
      <w:r w:rsidRPr="00AF3CBC">
        <w:rPr>
          <w:rFonts w:ascii="Times New Roman" w:hAnsi="Times New Roman"/>
          <w:spacing w:val="-2"/>
          <w:sz w:val="18"/>
          <w:szCs w:val="18"/>
        </w:rPr>
        <w:t xml:space="preserve"> StPO). Es folgen Name und Personalien des Angeklagten, ferner sind der Sitzungstag (§ 275 III StPO) und die Namen der an der Sitzung teilnehmenden Personen aufzunehmen.</w:t>
      </w:r>
    </w:p>
    <w:p w14:paraId="49222029" w14:textId="77777777" w:rsidR="00AF7055" w:rsidRPr="00AF3CBC" w:rsidRDefault="00AF7055" w:rsidP="00880221">
      <w:pPr>
        <w:widowControl/>
        <w:tabs>
          <w:tab w:val="left" w:pos="-720"/>
          <w:tab w:val="left" w:pos="288"/>
          <w:tab w:val="left" w:pos="567"/>
          <w:tab w:val="left" w:pos="864"/>
          <w:tab w:val="left" w:pos="1116"/>
          <w:tab w:val="left" w:pos="1404"/>
          <w:tab w:val="left" w:pos="1692"/>
          <w:tab w:val="left" w:pos="1980"/>
          <w:tab w:val="left" w:pos="2268"/>
          <w:tab w:val="left" w:pos="2880"/>
        </w:tabs>
        <w:spacing w:line="200" w:lineRule="exact"/>
        <w:ind w:left="567" w:hanging="567"/>
        <w:jc w:val="both"/>
        <w:rPr>
          <w:rFonts w:ascii="Times New Roman" w:hAnsi="Times New Roman"/>
          <w:spacing w:val="-2"/>
          <w:sz w:val="18"/>
          <w:szCs w:val="18"/>
        </w:rPr>
      </w:pPr>
      <w:r w:rsidRPr="00AF3CBC">
        <w:rPr>
          <w:rFonts w:ascii="Times New Roman" w:hAnsi="Times New Roman"/>
          <w:b/>
          <w:spacing w:val="-2"/>
          <w:sz w:val="18"/>
          <w:szCs w:val="18"/>
        </w:rPr>
        <w:tab/>
      </w:r>
      <w:r w:rsidRPr="00AF3CBC">
        <w:rPr>
          <w:rFonts w:ascii="Times New Roman" w:hAnsi="Times New Roman"/>
          <w:spacing w:val="-2"/>
          <w:sz w:val="18"/>
          <w:szCs w:val="18"/>
          <w:u w:val="single"/>
        </w:rPr>
        <w:t xml:space="preserve">2. </w:t>
      </w:r>
      <w:r w:rsidRPr="00AF3CBC">
        <w:rPr>
          <w:rFonts w:ascii="Times New Roman" w:hAnsi="Times New Roman"/>
          <w:spacing w:val="-2"/>
          <w:sz w:val="18"/>
          <w:szCs w:val="18"/>
          <w:u w:val="single"/>
        </w:rPr>
        <w:tab/>
        <w:t>Tenor (Urteilsformel, § 260 IV StPO):</w:t>
      </w:r>
      <w:r w:rsidRPr="00AF3CBC">
        <w:rPr>
          <w:rFonts w:ascii="Times New Roman" w:hAnsi="Times New Roman"/>
          <w:spacing w:val="-2"/>
          <w:sz w:val="18"/>
          <w:szCs w:val="18"/>
        </w:rPr>
        <w:t xml:space="preserve"> Der Tenor enthält in kurz gefasster Form den Ausspruch des Gerichts über Schuld oder Unschuld des Angeklagten sowie die Rechtsfolgen. Nicht aufgenommen werden gesetzliche Strafzumessungsgründe (z.B. §</w:t>
      </w:r>
      <w:r w:rsidR="00D55C5D" w:rsidRPr="00AF3CBC">
        <w:rPr>
          <w:rFonts w:ascii="Times New Roman" w:hAnsi="Times New Roman"/>
          <w:spacing w:val="-2"/>
          <w:sz w:val="18"/>
          <w:szCs w:val="18"/>
        </w:rPr>
        <w:t> </w:t>
      </w:r>
      <w:r w:rsidRPr="00AF3CBC">
        <w:rPr>
          <w:rFonts w:ascii="Times New Roman" w:hAnsi="Times New Roman"/>
          <w:spacing w:val="-2"/>
          <w:sz w:val="18"/>
          <w:szCs w:val="18"/>
        </w:rPr>
        <w:t>243 StGB).</w:t>
      </w:r>
    </w:p>
    <w:p w14:paraId="3D389452" w14:textId="3F02A067" w:rsidR="00AF7055" w:rsidRPr="00AF3CBC" w:rsidRDefault="00AF7055" w:rsidP="00880221">
      <w:pPr>
        <w:widowControl/>
        <w:tabs>
          <w:tab w:val="left" w:pos="-720"/>
          <w:tab w:val="left" w:pos="288"/>
          <w:tab w:val="left" w:pos="567"/>
          <w:tab w:val="left" w:pos="864"/>
          <w:tab w:val="left" w:pos="1116"/>
          <w:tab w:val="left" w:pos="1404"/>
          <w:tab w:val="left" w:pos="1692"/>
          <w:tab w:val="left" w:pos="1980"/>
          <w:tab w:val="left" w:pos="2268"/>
          <w:tab w:val="left" w:pos="2880"/>
        </w:tabs>
        <w:spacing w:line="200" w:lineRule="exact"/>
        <w:ind w:left="567" w:hanging="567"/>
        <w:jc w:val="both"/>
        <w:rPr>
          <w:rFonts w:ascii="Times New Roman" w:hAnsi="Times New Roman"/>
          <w:spacing w:val="-2"/>
          <w:sz w:val="18"/>
          <w:szCs w:val="18"/>
        </w:rPr>
      </w:pPr>
      <w:r w:rsidRPr="00AF3CBC">
        <w:rPr>
          <w:rFonts w:ascii="Times New Roman" w:hAnsi="Times New Roman"/>
          <w:spacing w:val="-2"/>
          <w:sz w:val="18"/>
          <w:szCs w:val="18"/>
        </w:rPr>
        <w:tab/>
      </w:r>
      <w:r w:rsidRPr="00AF3CBC">
        <w:rPr>
          <w:rFonts w:ascii="Times New Roman" w:hAnsi="Times New Roman"/>
          <w:spacing w:val="-2"/>
          <w:sz w:val="18"/>
          <w:szCs w:val="18"/>
          <w:u w:val="single"/>
        </w:rPr>
        <w:t xml:space="preserve">3. </w:t>
      </w:r>
      <w:r w:rsidRPr="00AF3CBC">
        <w:rPr>
          <w:rFonts w:ascii="Times New Roman" w:hAnsi="Times New Roman"/>
          <w:spacing w:val="-2"/>
          <w:sz w:val="18"/>
          <w:szCs w:val="18"/>
          <w:u w:val="single"/>
        </w:rPr>
        <w:tab/>
        <w:t>Liste der angewendeten Vorschriften (§ 260 V StPO):</w:t>
      </w:r>
      <w:r w:rsidRPr="00AF3CBC">
        <w:rPr>
          <w:rFonts w:ascii="Times New Roman" w:hAnsi="Times New Roman"/>
          <w:spacing w:val="-2"/>
          <w:sz w:val="18"/>
          <w:szCs w:val="18"/>
        </w:rPr>
        <w:t xml:space="preserve"> Auflistung der Paragra</w:t>
      </w:r>
      <w:r w:rsidR="00C1291F" w:rsidRPr="00AF3CBC">
        <w:rPr>
          <w:rFonts w:ascii="Times New Roman" w:hAnsi="Times New Roman"/>
          <w:spacing w:val="-2"/>
          <w:sz w:val="18"/>
          <w:szCs w:val="18"/>
        </w:rPr>
        <w:t>f</w:t>
      </w:r>
      <w:r w:rsidRPr="00AF3CBC">
        <w:rPr>
          <w:rFonts w:ascii="Times New Roman" w:hAnsi="Times New Roman"/>
          <w:spacing w:val="-2"/>
          <w:sz w:val="18"/>
          <w:szCs w:val="18"/>
        </w:rPr>
        <w:t xml:space="preserve">en, welche dem </w:t>
      </w:r>
      <w:r w:rsidR="00EF5B2A" w:rsidRPr="00AF3CBC">
        <w:rPr>
          <w:rFonts w:ascii="Times New Roman" w:hAnsi="Times New Roman"/>
          <w:spacing w:val="-2"/>
          <w:sz w:val="18"/>
          <w:szCs w:val="18"/>
        </w:rPr>
        <w:t>U</w:t>
      </w:r>
      <w:r w:rsidRPr="00AF3CBC">
        <w:rPr>
          <w:rFonts w:ascii="Times New Roman" w:hAnsi="Times New Roman"/>
          <w:spacing w:val="-2"/>
          <w:sz w:val="18"/>
          <w:szCs w:val="18"/>
        </w:rPr>
        <w:t>rteil zu Grunde liegen.</w:t>
      </w:r>
    </w:p>
    <w:p w14:paraId="3E9ED5F2" w14:textId="62D06C7A" w:rsidR="00AF7055" w:rsidRPr="00AF3CBC" w:rsidRDefault="00AF7055" w:rsidP="00880221">
      <w:pPr>
        <w:widowControl/>
        <w:tabs>
          <w:tab w:val="left" w:pos="-720"/>
          <w:tab w:val="left" w:pos="288"/>
          <w:tab w:val="left" w:pos="567"/>
          <w:tab w:val="left" w:pos="864"/>
          <w:tab w:val="left" w:pos="1116"/>
          <w:tab w:val="left" w:pos="1404"/>
          <w:tab w:val="left" w:pos="1692"/>
          <w:tab w:val="left" w:pos="1980"/>
          <w:tab w:val="left" w:pos="2268"/>
          <w:tab w:val="left" w:pos="2880"/>
        </w:tabs>
        <w:spacing w:line="200" w:lineRule="exact"/>
        <w:ind w:left="567" w:hanging="567"/>
        <w:jc w:val="both"/>
        <w:rPr>
          <w:rFonts w:ascii="Times New Roman" w:hAnsi="Times New Roman"/>
          <w:spacing w:val="-2"/>
          <w:sz w:val="18"/>
          <w:szCs w:val="18"/>
        </w:rPr>
      </w:pPr>
      <w:r w:rsidRPr="00AF3CBC">
        <w:rPr>
          <w:rFonts w:ascii="Times New Roman" w:hAnsi="Times New Roman"/>
          <w:spacing w:val="-2"/>
          <w:sz w:val="18"/>
          <w:szCs w:val="18"/>
        </w:rPr>
        <w:tab/>
      </w:r>
      <w:r w:rsidRPr="00AF3CBC">
        <w:rPr>
          <w:rFonts w:ascii="Times New Roman" w:hAnsi="Times New Roman"/>
          <w:spacing w:val="-2"/>
          <w:sz w:val="18"/>
          <w:szCs w:val="18"/>
          <w:u w:val="single"/>
        </w:rPr>
        <w:t xml:space="preserve">4. </w:t>
      </w:r>
      <w:r w:rsidRPr="00AF3CBC">
        <w:rPr>
          <w:rFonts w:ascii="Times New Roman" w:hAnsi="Times New Roman"/>
          <w:spacing w:val="-2"/>
          <w:sz w:val="18"/>
          <w:szCs w:val="18"/>
          <w:u w:val="single"/>
        </w:rPr>
        <w:tab/>
        <w:t>Urteilsgründe (§ 267 StPO):</w:t>
      </w:r>
      <w:r w:rsidRPr="00AF3CBC">
        <w:rPr>
          <w:rFonts w:ascii="Times New Roman" w:hAnsi="Times New Roman"/>
          <w:spacing w:val="-2"/>
          <w:sz w:val="18"/>
          <w:szCs w:val="18"/>
        </w:rPr>
        <w:t xml:space="preserve"> Hier wird dargelegt, ob und warum die im Eröffnungsbeschluss bestimmte Tat als erwiesen angesehen wird (tatsächliche Würdigung) und ob sie eine Straftat darstellt (rechtliche Würdigung).</w:t>
      </w:r>
    </w:p>
    <w:p w14:paraId="6E827BAE" w14:textId="77777777" w:rsidR="00AF7055" w:rsidRPr="00AF3CBC" w:rsidRDefault="00AF7055" w:rsidP="00880221">
      <w:pPr>
        <w:widowControl/>
        <w:tabs>
          <w:tab w:val="left" w:pos="-720"/>
          <w:tab w:val="left" w:pos="288"/>
          <w:tab w:val="left" w:pos="567"/>
          <w:tab w:val="left" w:pos="864"/>
          <w:tab w:val="left" w:pos="1116"/>
          <w:tab w:val="left" w:pos="1404"/>
          <w:tab w:val="left" w:pos="1692"/>
          <w:tab w:val="left" w:pos="1980"/>
          <w:tab w:val="left" w:pos="2268"/>
          <w:tab w:val="left" w:pos="2880"/>
        </w:tabs>
        <w:spacing w:line="200" w:lineRule="exact"/>
        <w:ind w:left="567" w:hanging="567"/>
        <w:jc w:val="both"/>
        <w:rPr>
          <w:rFonts w:ascii="Times New Roman" w:hAnsi="Times New Roman"/>
          <w:spacing w:val="-2"/>
          <w:sz w:val="18"/>
          <w:szCs w:val="18"/>
        </w:rPr>
      </w:pPr>
      <w:r w:rsidRPr="00AF3CBC">
        <w:rPr>
          <w:rFonts w:ascii="Times New Roman" w:hAnsi="Times New Roman"/>
          <w:spacing w:val="-2"/>
          <w:sz w:val="18"/>
          <w:szCs w:val="18"/>
        </w:rPr>
        <w:tab/>
      </w:r>
      <w:r w:rsidRPr="00AF3CBC">
        <w:rPr>
          <w:rFonts w:ascii="Times New Roman" w:hAnsi="Times New Roman"/>
          <w:spacing w:val="-2"/>
          <w:sz w:val="18"/>
          <w:szCs w:val="18"/>
          <w:u w:val="single"/>
        </w:rPr>
        <w:t xml:space="preserve">5. </w:t>
      </w:r>
      <w:r w:rsidRPr="00AF3CBC">
        <w:rPr>
          <w:rFonts w:ascii="Times New Roman" w:hAnsi="Times New Roman"/>
          <w:spacing w:val="-2"/>
          <w:sz w:val="18"/>
          <w:szCs w:val="18"/>
          <w:u w:val="single"/>
        </w:rPr>
        <w:tab/>
        <w:t>Unterschrift (§ 275 II 1, 3 StPO):</w:t>
      </w:r>
      <w:r w:rsidRPr="00AF3CBC">
        <w:rPr>
          <w:rFonts w:ascii="Times New Roman" w:hAnsi="Times New Roman"/>
          <w:spacing w:val="-2"/>
          <w:sz w:val="18"/>
          <w:szCs w:val="18"/>
        </w:rPr>
        <w:t xml:space="preserve"> Das Urteil ist von den Berufsrichtern, die bei der Entscheidung mitgewirkt haben, zu unterschreiben. Die Schöffen unterschreiben nicht.</w:t>
      </w:r>
    </w:p>
    <w:p w14:paraId="1ECFA917" w14:textId="77777777" w:rsidR="00AF7055" w:rsidRPr="00AF3CBC" w:rsidRDefault="00AF7055" w:rsidP="00880221">
      <w:pPr>
        <w:widowControl/>
        <w:tabs>
          <w:tab w:val="left" w:pos="-720"/>
          <w:tab w:val="left" w:pos="284"/>
          <w:tab w:val="left" w:pos="576"/>
          <w:tab w:val="left" w:pos="864"/>
          <w:tab w:val="left" w:pos="1116"/>
          <w:tab w:val="left" w:pos="1404"/>
          <w:tab w:val="left" w:pos="1692"/>
          <w:tab w:val="left" w:pos="1980"/>
          <w:tab w:val="left" w:pos="2268"/>
          <w:tab w:val="left" w:pos="2880"/>
        </w:tabs>
        <w:spacing w:before="120" w:line="200" w:lineRule="exact"/>
        <w:ind w:left="284" w:hanging="284"/>
        <w:jc w:val="both"/>
        <w:rPr>
          <w:rFonts w:ascii="Times New Roman" w:hAnsi="Times New Roman"/>
          <w:spacing w:val="-2"/>
          <w:sz w:val="18"/>
          <w:szCs w:val="18"/>
        </w:rPr>
      </w:pPr>
      <w:r w:rsidRPr="00AF3CBC">
        <w:rPr>
          <w:rFonts w:ascii="Times New Roman" w:hAnsi="Times New Roman"/>
          <w:b/>
          <w:spacing w:val="-2"/>
          <w:sz w:val="18"/>
          <w:szCs w:val="18"/>
        </w:rPr>
        <w:t>VI.</w:t>
      </w:r>
      <w:r w:rsidR="001D382C" w:rsidRPr="00AF3CBC">
        <w:rPr>
          <w:rFonts w:ascii="Times New Roman" w:hAnsi="Times New Roman"/>
          <w:b/>
          <w:spacing w:val="-2"/>
          <w:sz w:val="18"/>
          <w:szCs w:val="18"/>
        </w:rPr>
        <w:tab/>
      </w:r>
      <w:r w:rsidRPr="00AF3CBC">
        <w:rPr>
          <w:rFonts w:ascii="Times New Roman" w:hAnsi="Times New Roman"/>
          <w:b/>
          <w:spacing w:val="-2"/>
          <w:sz w:val="18"/>
          <w:szCs w:val="18"/>
        </w:rPr>
        <w:t xml:space="preserve">Die Rechtskraft des Urteils: </w:t>
      </w:r>
      <w:r w:rsidRPr="00AF3CBC">
        <w:rPr>
          <w:rFonts w:ascii="Times New Roman" w:hAnsi="Times New Roman"/>
          <w:spacing w:val="-2"/>
          <w:sz w:val="18"/>
          <w:szCs w:val="18"/>
        </w:rPr>
        <w:t>Rechtskraft eines Urteil</w:t>
      </w:r>
      <w:r w:rsidR="0084669A" w:rsidRPr="00AF3CBC">
        <w:rPr>
          <w:rFonts w:ascii="Times New Roman" w:hAnsi="Times New Roman"/>
          <w:spacing w:val="-2"/>
          <w:sz w:val="18"/>
          <w:szCs w:val="18"/>
        </w:rPr>
        <w:t>s</w:t>
      </w:r>
      <w:r w:rsidRPr="00AF3CBC">
        <w:rPr>
          <w:rFonts w:ascii="Times New Roman" w:hAnsi="Times New Roman"/>
          <w:spacing w:val="-2"/>
          <w:sz w:val="18"/>
          <w:szCs w:val="18"/>
        </w:rPr>
        <w:t xml:space="preserve"> bedeutet Endgültigkeit und Maßgeblichkeit der gefällten Entscheidung. Nach Erlass ist es in der Regel nicht mehr abänderbar (Ausnahme: offensichtliche Schreib- und Fassungsfehler). Urteile erwachsen auch dann in Rechtskraft, wenn sie inhaltlich falsch sind oder wenn sie prozessual fehlerhaft zustande gekommen sind. In Extremfällen bestehen jedoch Ausnahmen (nichtige Urteile; Nicht-Urteile).</w:t>
      </w:r>
    </w:p>
    <w:p w14:paraId="1F9699F8" w14:textId="77777777" w:rsidR="00AF7055" w:rsidRPr="00AF3CBC" w:rsidRDefault="00AF7055" w:rsidP="00880221">
      <w:pPr>
        <w:widowControl/>
        <w:tabs>
          <w:tab w:val="left" w:pos="-720"/>
          <w:tab w:val="left" w:pos="567"/>
          <w:tab w:val="left" w:pos="1116"/>
          <w:tab w:val="left" w:pos="1404"/>
          <w:tab w:val="left" w:pos="1692"/>
          <w:tab w:val="left" w:pos="1980"/>
          <w:tab w:val="left" w:pos="2268"/>
          <w:tab w:val="left" w:pos="2880"/>
        </w:tabs>
        <w:spacing w:line="200" w:lineRule="exact"/>
        <w:ind w:left="567" w:hanging="283"/>
        <w:jc w:val="both"/>
        <w:rPr>
          <w:rFonts w:ascii="Times New Roman" w:hAnsi="Times New Roman"/>
          <w:spacing w:val="-2"/>
          <w:sz w:val="18"/>
          <w:szCs w:val="18"/>
        </w:rPr>
      </w:pPr>
      <w:r w:rsidRPr="00AF3CBC">
        <w:rPr>
          <w:rFonts w:ascii="Times New Roman" w:hAnsi="Times New Roman"/>
          <w:spacing w:val="-2"/>
          <w:sz w:val="18"/>
          <w:szCs w:val="18"/>
          <w:u w:val="single"/>
        </w:rPr>
        <w:t xml:space="preserve">1. </w:t>
      </w:r>
      <w:r w:rsidRPr="00AF3CBC">
        <w:rPr>
          <w:rFonts w:ascii="Times New Roman" w:hAnsi="Times New Roman"/>
          <w:spacing w:val="-2"/>
          <w:sz w:val="18"/>
          <w:szCs w:val="18"/>
          <w:u w:val="single"/>
        </w:rPr>
        <w:tab/>
        <w:t>Formelle Rechtskraft:</w:t>
      </w:r>
      <w:r w:rsidRPr="00AF3CBC">
        <w:rPr>
          <w:rFonts w:ascii="Times New Roman" w:hAnsi="Times New Roman"/>
          <w:spacing w:val="-2"/>
          <w:sz w:val="18"/>
          <w:szCs w:val="18"/>
        </w:rPr>
        <w:t xml:space="preserve"> Unanfechtbarkeit des Urteils im selben Verfahren. </w:t>
      </w:r>
      <w:r w:rsidRPr="00AF3CBC">
        <w:rPr>
          <w:rFonts w:ascii="Times New Roman" w:hAnsi="Times New Roman"/>
          <w:b/>
          <w:spacing w:val="-2"/>
          <w:sz w:val="18"/>
          <w:szCs w:val="18"/>
        </w:rPr>
        <w:t>Eintritt:</w:t>
      </w:r>
      <w:r w:rsidRPr="00AF3CBC">
        <w:rPr>
          <w:rFonts w:ascii="Times New Roman" w:hAnsi="Times New Roman"/>
          <w:spacing w:val="-2"/>
          <w:sz w:val="18"/>
          <w:szCs w:val="18"/>
        </w:rPr>
        <w:t xml:space="preserve"> a) nach Ablauf der Rechtsmittelfrist, ohne dass ein Rechtsmittel eingelegt wurde; b) nach wirksamem Verzicht aller Beteiligten auf Rechtsmittel; c) sofern das Revisionsgericht – unanfechtbar – entschieden hat; </w:t>
      </w:r>
      <w:r w:rsidRPr="00AF3CBC">
        <w:rPr>
          <w:rFonts w:ascii="Times New Roman" w:hAnsi="Times New Roman"/>
          <w:b/>
          <w:spacing w:val="-2"/>
          <w:sz w:val="18"/>
          <w:szCs w:val="18"/>
        </w:rPr>
        <w:t>Wirkungen:</w:t>
      </w:r>
      <w:r w:rsidRPr="00AF3CBC">
        <w:rPr>
          <w:rFonts w:ascii="Times New Roman" w:hAnsi="Times New Roman"/>
          <w:spacing w:val="-2"/>
          <w:sz w:val="18"/>
          <w:szCs w:val="18"/>
        </w:rPr>
        <w:t xml:space="preserve"> Vollstreckbarkeit des Urteils (§ 449 StPO) und Eintritt der materiellen Rechtskraft (Sperrwirkung).</w:t>
      </w:r>
    </w:p>
    <w:p w14:paraId="6F9D84ED" w14:textId="79D4D991" w:rsidR="00AF7055" w:rsidRPr="00AF3CBC" w:rsidRDefault="00AF7055" w:rsidP="00880221">
      <w:pPr>
        <w:widowControl/>
        <w:tabs>
          <w:tab w:val="left" w:pos="-720"/>
          <w:tab w:val="left" w:pos="567"/>
          <w:tab w:val="left" w:pos="1116"/>
          <w:tab w:val="left" w:pos="1404"/>
          <w:tab w:val="left" w:pos="1692"/>
          <w:tab w:val="left" w:pos="1980"/>
          <w:tab w:val="left" w:pos="2268"/>
          <w:tab w:val="left" w:pos="2880"/>
        </w:tabs>
        <w:spacing w:line="200" w:lineRule="exact"/>
        <w:ind w:left="567" w:hanging="283"/>
        <w:jc w:val="both"/>
        <w:rPr>
          <w:rFonts w:ascii="Times New Roman" w:hAnsi="Times New Roman"/>
          <w:spacing w:val="-2"/>
          <w:sz w:val="18"/>
          <w:szCs w:val="18"/>
        </w:rPr>
      </w:pPr>
      <w:r w:rsidRPr="00AF3CBC">
        <w:rPr>
          <w:rFonts w:ascii="Times New Roman" w:hAnsi="Times New Roman"/>
          <w:spacing w:val="-2"/>
          <w:sz w:val="18"/>
          <w:szCs w:val="18"/>
          <w:u w:val="single"/>
        </w:rPr>
        <w:t xml:space="preserve">2. </w:t>
      </w:r>
      <w:r w:rsidRPr="00AF3CBC">
        <w:rPr>
          <w:rFonts w:ascii="Times New Roman" w:hAnsi="Times New Roman"/>
          <w:spacing w:val="-2"/>
          <w:sz w:val="18"/>
          <w:szCs w:val="18"/>
          <w:u w:val="single"/>
        </w:rPr>
        <w:tab/>
        <w:t>Materielle Rechtskraft:</w:t>
      </w:r>
      <w:r w:rsidRPr="00AF3CBC">
        <w:rPr>
          <w:rFonts w:ascii="Times New Roman" w:hAnsi="Times New Roman"/>
          <w:spacing w:val="-2"/>
          <w:sz w:val="18"/>
          <w:szCs w:val="18"/>
        </w:rPr>
        <w:t xml:space="preserve"> Die Tat im prozessualen Sinn (§ 264 StPO), die bereits Gegenstand eines durch Sachurteil abgeschlossenen Verfahrens war, kann nicht noch einmal Gegenstand eines Strafverfahrens und eines Sachurteils werden (sog. Sperrwirkung – ne bis in idem, Art. 103 III 1 GG; vgl. dazu Arbeitsblatt Nr. 5</w:t>
      </w:r>
      <w:r w:rsidRPr="00EF5524">
        <w:rPr>
          <w:rFonts w:ascii="Times New Roman" w:hAnsi="Times New Roman"/>
          <w:spacing w:val="-2"/>
          <w:sz w:val="19"/>
          <w:szCs w:val="19"/>
        </w:rPr>
        <w:t xml:space="preserve">1). </w:t>
      </w:r>
      <w:r w:rsidRPr="00AF3CBC">
        <w:rPr>
          <w:rFonts w:ascii="Times New Roman" w:hAnsi="Times New Roman"/>
          <w:spacing w:val="-2"/>
          <w:sz w:val="18"/>
          <w:szCs w:val="18"/>
        </w:rPr>
        <w:t>Sie stellt für künftige Verfahren ein Verfahrenshindernis dar. Sie umfasst aber nur den Tenor der Entscheidung, nicht die Urteilsgründe. Nach einer Minderansicht ist allerdings eine Ergänzungs- bzw. Vervollständigungsklage möglich, wenn nach Erlass des Urteils schwerere Tatfolgen eintreten (Bsp.: Tod des Verletzten).</w:t>
      </w:r>
    </w:p>
    <w:p w14:paraId="09015D08" w14:textId="77777777" w:rsidR="00AF7055" w:rsidRPr="00AF3CBC" w:rsidRDefault="00AF7055" w:rsidP="00880221">
      <w:pPr>
        <w:widowControl/>
        <w:tabs>
          <w:tab w:val="left" w:pos="-720"/>
          <w:tab w:val="left" w:pos="567"/>
          <w:tab w:val="left" w:pos="1116"/>
          <w:tab w:val="left" w:pos="1404"/>
          <w:tab w:val="left" w:pos="1692"/>
          <w:tab w:val="left" w:pos="1980"/>
          <w:tab w:val="left" w:pos="2268"/>
          <w:tab w:val="left" w:pos="2880"/>
        </w:tabs>
        <w:spacing w:line="200" w:lineRule="exact"/>
        <w:ind w:left="567" w:hanging="283"/>
        <w:jc w:val="both"/>
        <w:rPr>
          <w:rFonts w:ascii="Times New Roman" w:hAnsi="Times New Roman"/>
          <w:spacing w:val="-2"/>
          <w:sz w:val="18"/>
          <w:szCs w:val="18"/>
        </w:rPr>
      </w:pPr>
      <w:r w:rsidRPr="00AF3CBC">
        <w:rPr>
          <w:rFonts w:ascii="Times New Roman" w:hAnsi="Times New Roman"/>
          <w:spacing w:val="-2"/>
          <w:sz w:val="18"/>
          <w:szCs w:val="18"/>
          <w:u w:val="single"/>
        </w:rPr>
        <w:t xml:space="preserve">3. </w:t>
      </w:r>
      <w:r w:rsidRPr="00AF3CBC">
        <w:rPr>
          <w:rFonts w:ascii="Times New Roman" w:hAnsi="Times New Roman"/>
          <w:spacing w:val="-2"/>
          <w:sz w:val="18"/>
          <w:szCs w:val="18"/>
          <w:u w:val="single"/>
        </w:rPr>
        <w:tab/>
        <w:t>Wesen der Rechtskraft:</w:t>
      </w:r>
      <w:r w:rsidRPr="00AF3CBC">
        <w:rPr>
          <w:rFonts w:ascii="Times New Roman" w:hAnsi="Times New Roman"/>
          <w:spacing w:val="-2"/>
          <w:sz w:val="18"/>
          <w:szCs w:val="18"/>
        </w:rPr>
        <w:t xml:space="preserve"> Nach h.M. (prozessrechtliche Rechtskrafttheorie) hat das Urteil rein prozessuale Auswirkungen, d.h. es hat (lediglich) prozessrechtliche Verbindlichkeit. Die Vollstreckung eines unrichtigen Urteils ist damit zwar rechtswidrig, der unschuldig Verurteilte hat jedoch keine Notwehrrechte.</w:t>
      </w:r>
    </w:p>
    <w:p w14:paraId="145AA2CC" w14:textId="77777777" w:rsidR="00AF7055" w:rsidRPr="00AF3CBC" w:rsidRDefault="00AF7055" w:rsidP="00880221">
      <w:pPr>
        <w:widowControl/>
        <w:tabs>
          <w:tab w:val="left" w:pos="-720"/>
          <w:tab w:val="left" w:pos="567"/>
          <w:tab w:val="left" w:pos="1116"/>
          <w:tab w:val="left" w:pos="1404"/>
          <w:tab w:val="left" w:pos="1692"/>
          <w:tab w:val="left" w:pos="1980"/>
          <w:tab w:val="left" w:pos="2268"/>
          <w:tab w:val="left" w:pos="2880"/>
        </w:tabs>
        <w:spacing w:line="200" w:lineRule="exact"/>
        <w:ind w:left="567" w:hanging="283"/>
        <w:jc w:val="both"/>
        <w:rPr>
          <w:rFonts w:ascii="Times New Roman" w:hAnsi="Times New Roman"/>
          <w:spacing w:val="-2"/>
          <w:sz w:val="18"/>
          <w:szCs w:val="18"/>
        </w:rPr>
      </w:pPr>
      <w:r w:rsidRPr="00AF3CBC">
        <w:rPr>
          <w:rFonts w:ascii="Times New Roman" w:hAnsi="Times New Roman"/>
          <w:spacing w:val="-2"/>
          <w:sz w:val="18"/>
          <w:szCs w:val="18"/>
          <w:u w:val="single"/>
        </w:rPr>
        <w:t xml:space="preserve">4. </w:t>
      </w:r>
      <w:r w:rsidRPr="00AF3CBC">
        <w:rPr>
          <w:rFonts w:ascii="Times New Roman" w:hAnsi="Times New Roman"/>
          <w:spacing w:val="-2"/>
          <w:sz w:val="18"/>
          <w:szCs w:val="18"/>
          <w:u w:val="single"/>
        </w:rPr>
        <w:tab/>
        <w:t>Beseitigung der Rechtskraft:</w:t>
      </w:r>
      <w:r w:rsidRPr="00AF3CBC">
        <w:rPr>
          <w:rFonts w:ascii="Times New Roman" w:hAnsi="Times New Roman"/>
          <w:spacing w:val="-2"/>
          <w:sz w:val="18"/>
          <w:szCs w:val="18"/>
        </w:rPr>
        <w:t xml:space="preserve"> Eine Beseitigung de</w:t>
      </w:r>
      <w:r w:rsidR="00AA3E56" w:rsidRPr="00AF3CBC">
        <w:rPr>
          <w:rFonts w:ascii="Times New Roman" w:hAnsi="Times New Roman"/>
          <w:spacing w:val="-2"/>
          <w:sz w:val="18"/>
          <w:szCs w:val="18"/>
        </w:rPr>
        <w:t>r</w:t>
      </w:r>
      <w:r w:rsidRPr="00AF3CBC">
        <w:rPr>
          <w:rFonts w:ascii="Times New Roman" w:hAnsi="Times New Roman"/>
          <w:spacing w:val="-2"/>
          <w:sz w:val="18"/>
          <w:szCs w:val="18"/>
        </w:rPr>
        <w:t xml:space="preserve"> Rechtskraft ist (nur) möglich unter den Voraussetzungen der §§ 44 ff. StPO (Wiedereinsetzung); § 357 StPO (Revisionsurteil bzgl. Mitangeklagten); § 359 ff. StPO (Wiederaufnahme); § 95 II BVerfGG (Verfassungsbeschwerde).</w:t>
      </w:r>
    </w:p>
    <w:p w14:paraId="742429FF" w14:textId="77777777" w:rsidR="002B1124" w:rsidRDefault="002B1124" w:rsidP="0088022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200" w:lineRule="exact"/>
        <w:ind w:left="1980" w:hanging="1980"/>
        <w:jc w:val="both"/>
        <w:rPr>
          <w:rFonts w:ascii="Times New Roman" w:hAnsi="Times New Roman"/>
          <w:b/>
          <w:spacing w:val="-2"/>
          <w:sz w:val="18"/>
        </w:rPr>
      </w:pPr>
    </w:p>
    <w:p w14:paraId="2A6C1D30" w14:textId="70DE7516" w:rsidR="00AF7055" w:rsidRPr="00CC0FA4" w:rsidRDefault="00AF7055">
      <w:pPr>
        <w:widowControl/>
        <w:tabs>
          <w:tab w:val="left" w:pos="-720"/>
          <w:tab w:val="left" w:pos="0"/>
          <w:tab w:val="left" w:pos="288"/>
          <w:tab w:val="left" w:pos="576"/>
          <w:tab w:val="left" w:pos="864"/>
          <w:tab w:val="left" w:pos="1116"/>
          <w:tab w:val="left" w:pos="1404"/>
          <w:tab w:val="left" w:pos="1692"/>
          <w:tab w:val="left" w:pos="1980"/>
          <w:tab w:val="left" w:pos="2268"/>
          <w:tab w:val="left" w:pos="2880"/>
        </w:tabs>
        <w:ind w:left="1980" w:hanging="1980"/>
        <w:jc w:val="both"/>
        <w:rPr>
          <w:rFonts w:ascii="Times New Roman" w:hAnsi="Times New Roman"/>
          <w:spacing w:val="-2"/>
          <w:sz w:val="16"/>
          <w:szCs w:val="16"/>
        </w:rPr>
      </w:pPr>
      <w:r w:rsidRPr="00CC0FA4">
        <w:rPr>
          <w:rFonts w:ascii="Times New Roman" w:hAnsi="Times New Roman"/>
          <w:b/>
          <w:spacing w:val="-2"/>
          <w:sz w:val="16"/>
          <w:szCs w:val="16"/>
        </w:rPr>
        <w:t xml:space="preserve">Literatur/Lehrbücher: </w:t>
      </w:r>
      <w:r w:rsidRPr="00CC0FA4">
        <w:rPr>
          <w:rFonts w:ascii="Times New Roman" w:hAnsi="Times New Roman"/>
          <w:b/>
          <w:spacing w:val="-2"/>
          <w:sz w:val="16"/>
          <w:szCs w:val="16"/>
        </w:rPr>
        <w:tab/>
      </w:r>
      <w:r w:rsidR="00EF5B2A" w:rsidRPr="00CC0FA4">
        <w:rPr>
          <w:rFonts w:ascii="Times New Roman" w:hAnsi="Times New Roman"/>
          <w:i/>
          <w:spacing w:val="-2"/>
          <w:sz w:val="16"/>
          <w:szCs w:val="16"/>
        </w:rPr>
        <w:t>Heinrich/Reinbacher</w:t>
      </w:r>
      <w:r w:rsidR="00EF5B2A" w:rsidRPr="00CC0FA4">
        <w:rPr>
          <w:rFonts w:ascii="Times New Roman" w:hAnsi="Times New Roman"/>
          <w:spacing w:val="-2"/>
          <w:sz w:val="16"/>
          <w:szCs w:val="16"/>
        </w:rPr>
        <w:t xml:space="preserve">, Examinatorium Strafprozessrecht, </w:t>
      </w:r>
      <w:r w:rsidR="001863DB" w:rsidRPr="00CC0FA4">
        <w:rPr>
          <w:rFonts w:ascii="Times New Roman" w:hAnsi="Times New Roman"/>
          <w:spacing w:val="-2"/>
          <w:sz w:val="16"/>
          <w:szCs w:val="16"/>
        </w:rPr>
        <w:t>4</w:t>
      </w:r>
      <w:r w:rsidR="005B45DC" w:rsidRPr="00CC0FA4">
        <w:rPr>
          <w:rFonts w:ascii="Times New Roman" w:hAnsi="Times New Roman"/>
          <w:spacing w:val="-2"/>
          <w:sz w:val="16"/>
          <w:szCs w:val="16"/>
        </w:rPr>
        <w:t>. Auflage 20</w:t>
      </w:r>
      <w:r w:rsidR="001C4006" w:rsidRPr="00CC0FA4">
        <w:rPr>
          <w:rFonts w:ascii="Times New Roman" w:hAnsi="Times New Roman"/>
          <w:spacing w:val="-2"/>
          <w:sz w:val="16"/>
          <w:szCs w:val="16"/>
        </w:rPr>
        <w:t>2</w:t>
      </w:r>
      <w:r w:rsidR="001863DB" w:rsidRPr="00CC0FA4">
        <w:rPr>
          <w:rFonts w:ascii="Times New Roman" w:hAnsi="Times New Roman"/>
          <w:spacing w:val="-2"/>
          <w:sz w:val="16"/>
          <w:szCs w:val="16"/>
        </w:rPr>
        <w:t>3</w:t>
      </w:r>
      <w:r w:rsidR="005B45DC" w:rsidRPr="00CC0FA4">
        <w:rPr>
          <w:rFonts w:ascii="Times New Roman" w:hAnsi="Times New Roman"/>
          <w:spacing w:val="-2"/>
          <w:sz w:val="16"/>
          <w:szCs w:val="16"/>
        </w:rPr>
        <w:t xml:space="preserve">, </w:t>
      </w:r>
      <w:r w:rsidR="00EF5B2A" w:rsidRPr="00CC0FA4">
        <w:rPr>
          <w:rFonts w:ascii="Times New Roman" w:hAnsi="Times New Roman"/>
          <w:spacing w:val="-2"/>
          <w:sz w:val="16"/>
          <w:szCs w:val="16"/>
        </w:rPr>
        <w:t>Problem</w:t>
      </w:r>
      <w:r w:rsidR="00C1291F" w:rsidRPr="00CC0FA4">
        <w:rPr>
          <w:rFonts w:ascii="Times New Roman" w:hAnsi="Times New Roman"/>
          <w:spacing w:val="-2"/>
          <w:sz w:val="16"/>
          <w:szCs w:val="16"/>
        </w:rPr>
        <w:t> </w:t>
      </w:r>
      <w:r w:rsidR="00EF5B2A" w:rsidRPr="00CC0FA4">
        <w:rPr>
          <w:rFonts w:ascii="Times New Roman" w:hAnsi="Times New Roman"/>
          <w:spacing w:val="-2"/>
          <w:sz w:val="16"/>
          <w:szCs w:val="16"/>
        </w:rPr>
        <w:t>41.</w:t>
      </w:r>
    </w:p>
    <w:p w14:paraId="10A89687" w14:textId="1820E22C" w:rsidR="00AF7055" w:rsidRPr="00CC0FA4" w:rsidRDefault="00AF7055" w:rsidP="001D382C">
      <w:pPr>
        <w:widowControl/>
        <w:tabs>
          <w:tab w:val="left" w:pos="-720"/>
          <w:tab w:val="left" w:pos="0"/>
          <w:tab w:val="left" w:pos="288"/>
          <w:tab w:val="left" w:pos="576"/>
          <w:tab w:val="left" w:pos="864"/>
          <w:tab w:val="left" w:pos="1116"/>
          <w:tab w:val="left" w:pos="1404"/>
          <w:tab w:val="left" w:pos="1701"/>
          <w:tab w:val="left" w:pos="2268"/>
          <w:tab w:val="left" w:pos="2880"/>
        </w:tabs>
        <w:ind w:left="1701" w:hanging="1701"/>
        <w:jc w:val="both"/>
        <w:rPr>
          <w:rFonts w:ascii="Times New Roman" w:hAnsi="Times New Roman"/>
          <w:spacing w:val="-2"/>
          <w:sz w:val="16"/>
          <w:szCs w:val="16"/>
        </w:rPr>
      </w:pPr>
      <w:r w:rsidRPr="00CC0FA4">
        <w:rPr>
          <w:rFonts w:ascii="Times New Roman" w:hAnsi="Times New Roman"/>
          <w:b/>
          <w:spacing w:val="-2"/>
          <w:sz w:val="16"/>
          <w:szCs w:val="16"/>
        </w:rPr>
        <w:t>Literatur/Aufsätze:</w:t>
      </w:r>
      <w:r w:rsidRPr="00CC0FA4">
        <w:rPr>
          <w:rFonts w:ascii="Times New Roman" w:hAnsi="Times New Roman"/>
          <w:b/>
          <w:spacing w:val="-2"/>
          <w:sz w:val="16"/>
          <w:szCs w:val="16"/>
        </w:rPr>
        <w:tab/>
      </w:r>
      <w:r w:rsidRPr="00CC0FA4">
        <w:rPr>
          <w:rFonts w:ascii="Times New Roman" w:hAnsi="Times New Roman"/>
          <w:b/>
          <w:spacing w:val="-2"/>
          <w:sz w:val="16"/>
          <w:szCs w:val="16"/>
        </w:rPr>
        <w:tab/>
      </w:r>
      <w:r w:rsidRPr="00CC0FA4">
        <w:rPr>
          <w:rFonts w:ascii="Times New Roman" w:hAnsi="Times New Roman"/>
          <w:i/>
          <w:spacing w:val="-2"/>
          <w:sz w:val="16"/>
          <w:szCs w:val="16"/>
        </w:rPr>
        <w:t>Bosch</w:t>
      </w:r>
      <w:r w:rsidRPr="00CC0FA4">
        <w:rPr>
          <w:rFonts w:ascii="Times New Roman" w:hAnsi="Times New Roman"/>
          <w:spacing w:val="-2"/>
          <w:sz w:val="16"/>
          <w:szCs w:val="16"/>
        </w:rPr>
        <w:t xml:space="preserve">, Frist zur Urteilsverkündung, JA 2007, 232; </w:t>
      </w:r>
      <w:r w:rsidR="0022439E" w:rsidRPr="00CC0FA4">
        <w:rPr>
          <w:rFonts w:ascii="Times New Roman" w:hAnsi="Times New Roman"/>
          <w:i/>
          <w:iCs/>
          <w:spacing w:val="-2"/>
          <w:sz w:val="16"/>
          <w:szCs w:val="16"/>
        </w:rPr>
        <w:t>Ellbogen</w:t>
      </w:r>
      <w:r w:rsidR="0022439E" w:rsidRPr="00CC0FA4">
        <w:rPr>
          <w:rFonts w:ascii="Times New Roman" w:hAnsi="Times New Roman"/>
          <w:spacing w:val="-2"/>
          <w:sz w:val="16"/>
          <w:szCs w:val="16"/>
        </w:rPr>
        <w:t xml:space="preserve">, Grundzüge der strafrechtlichen Urteilsfindung, JA 2010, 137; </w:t>
      </w:r>
      <w:r w:rsidRPr="00CC0FA4">
        <w:rPr>
          <w:rFonts w:ascii="Times New Roman" w:hAnsi="Times New Roman"/>
          <w:i/>
          <w:spacing w:val="-2"/>
          <w:sz w:val="16"/>
          <w:szCs w:val="16"/>
        </w:rPr>
        <w:t>Eschelbach</w:t>
      </w:r>
      <w:r w:rsidRPr="00CC0FA4">
        <w:rPr>
          <w:rFonts w:ascii="Times New Roman" w:hAnsi="Times New Roman"/>
          <w:spacing w:val="-2"/>
          <w:sz w:val="16"/>
          <w:szCs w:val="16"/>
        </w:rPr>
        <w:t>, Sachlich-rechtliche Fehler in Strafurteilen nach aktueller BGH-Rechtsprechung, JA 1998, 498;</w:t>
      </w:r>
      <w:r w:rsidR="00063EAC" w:rsidRPr="00AF3CBC">
        <w:rPr>
          <w:rFonts w:ascii="Times New Roman" w:hAnsi="Times New Roman"/>
          <w:bCs/>
          <w:i/>
          <w:sz w:val="16"/>
          <w:szCs w:val="16"/>
        </w:rPr>
        <w:t xml:space="preserve"> </w:t>
      </w:r>
      <w:r w:rsidRPr="00CC0FA4">
        <w:rPr>
          <w:rFonts w:ascii="Times New Roman" w:hAnsi="Times New Roman"/>
          <w:i/>
          <w:spacing w:val="-2"/>
          <w:sz w:val="16"/>
          <w:szCs w:val="16"/>
        </w:rPr>
        <w:t>Jahn</w:t>
      </w:r>
      <w:r w:rsidRPr="00CC0FA4">
        <w:rPr>
          <w:rFonts w:ascii="Times New Roman" w:hAnsi="Times New Roman"/>
          <w:spacing w:val="-2"/>
          <w:sz w:val="16"/>
          <w:szCs w:val="16"/>
        </w:rPr>
        <w:t>, Grundlagen der Beweiswürdigung und Glaubhaftigkeitsbeurteilung,</w:t>
      </w:r>
      <w:r w:rsidRPr="00CC0FA4">
        <w:rPr>
          <w:rFonts w:ascii="Times New Roman" w:hAnsi="Times New Roman"/>
          <w:b/>
          <w:spacing w:val="-2"/>
          <w:sz w:val="16"/>
          <w:szCs w:val="16"/>
        </w:rPr>
        <w:t xml:space="preserve"> </w:t>
      </w:r>
      <w:r w:rsidRPr="00CC0FA4">
        <w:rPr>
          <w:rFonts w:ascii="Times New Roman" w:hAnsi="Times New Roman"/>
          <w:spacing w:val="-2"/>
          <w:sz w:val="16"/>
          <w:szCs w:val="16"/>
        </w:rPr>
        <w:t xml:space="preserve">JURA 2001, 450; </w:t>
      </w:r>
      <w:proofErr w:type="spellStart"/>
      <w:r w:rsidRPr="00CC0FA4">
        <w:rPr>
          <w:rFonts w:ascii="Times New Roman" w:hAnsi="Times New Roman"/>
          <w:i/>
          <w:spacing w:val="-2"/>
          <w:sz w:val="16"/>
          <w:szCs w:val="16"/>
        </w:rPr>
        <w:t>ders</w:t>
      </w:r>
      <w:proofErr w:type="spellEnd"/>
      <w:r w:rsidRPr="00CC0FA4">
        <w:rPr>
          <w:rFonts w:ascii="Times New Roman" w:hAnsi="Times New Roman"/>
          <w:i/>
          <w:spacing w:val="-2"/>
          <w:sz w:val="16"/>
          <w:szCs w:val="16"/>
        </w:rPr>
        <w:t>.</w:t>
      </w:r>
      <w:r w:rsidRPr="00CC0FA4">
        <w:rPr>
          <w:rFonts w:ascii="Times New Roman" w:hAnsi="Times New Roman"/>
          <w:spacing w:val="-2"/>
          <w:sz w:val="16"/>
          <w:szCs w:val="16"/>
        </w:rPr>
        <w:t xml:space="preserve">, Urteilsgründe bei Freispruch, </w:t>
      </w:r>
      <w:proofErr w:type="spellStart"/>
      <w:r w:rsidRPr="00CC0FA4">
        <w:rPr>
          <w:rFonts w:ascii="Times New Roman" w:hAnsi="Times New Roman"/>
          <w:spacing w:val="-2"/>
          <w:sz w:val="16"/>
          <w:szCs w:val="16"/>
        </w:rPr>
        <w:t>JuS</w:t>
      </w:r>
      <w:proofErr w:type="spellEnd"/>
      <w:r w:rsidRPr="00CC0FA4">
        <w:rPr>
          <w:rFonts w:ascii="Times New Roman" w:hAnsi="Times New Roman"/>
          <w:spacing w:val="-2"/>
          <w:sz w:val="16"/>
          <w:szCs w:val="16"/>
        </w:rPr>
        <w:t xml:space="preserve"> 2008, 930; </w:t>
      </w:r>
      <w:proofErr w:type="spellStart"/>
      <w:r w:rsidRPr="00CC0FA4">
        <w:rPr>
          <w:rFonts w:ascii="Times New Roman" w:hAnsi="Times New Roman"/>
          <w:i/>
          <w:spacing w:val="-2"/>
          <w:sz w:val="16"/>
          <w:szCs w:val="16"/>
        </w:rPr>
        <w:t>Mansdörfer</w:t>
      </w:r>
      <w:proofErr w:type="spellEnd"/>
      <w:r w:rsidRPr="00CC0FA4">
        <w:rPr>
          <w:rFonts w:ascii="Times New Roman" w:hAnsi="Times New Roman"/>
          <w:i/>
          <w:spacing w:val="-2"/>
          <w:sz w:val="16"/>
          <w:szCs w:val="16"/>
        </w:rPr>
        <w:t>/</w:t>
      </w:r>
      <w:proofErr w:type="spellStart"/>
      <w:r w:rsidRPr="00CC0FA4">
        <w:rPr>
          <w:rFonts w:ascii="Times New Roman" w:hAnsi="Times New Roman"/>
          <w:i/>
          <w:spacing w:val="-2"/>
          <w:sz w:val="16"/>
          <w:szCs w:val="16"/>
        </w:rPr>
        <w:t>Timmerbeil</w:t>
      </w:r>
      <w:proofErr w:type="spellEnd"/>
      <w:r w:rsidRPr="00CC0FA4">
        <w:rPr>
          <w:rFonts w:ascii="Times New Roman" w:hAnsi="Times New Roman"/>
          <w:spacing w:val="-2"/>
          <w:sz w:val="16"/>
          <w:szCs w:val="16"/>
        </w:rPr>
        <w:t xml:space="preserve">, Grundfälle zur </w:t>
      </w:r>
      <w:proofErr w:type="spellStart"/>
      <w:r w:rsidRPr="00CC0FA4">
        <w:rPr>
          <w:rFonts w:ascii="Times New Roman" w:hAnsi="Times New Roman"/>
          <w:spacing w:val="-2"/>
          <w:sz w:val="16"/>
          <w:szCs w:val="16"/>
        </w:rPr>
        <w:t>Tenorierung</w:t>
      </w:r>
      <w:proofErr w:type="spellEnd"/>
      <w:r w:rsidRPr="00CC0FA4">
        <w:rPr>
          <w:rFonts w:ascii="Times New Roman" w:hAnsi="Times New Roman"/>
          <w:spacing w:val="-2"/>
          <w:sz w:val="16"/>
          <w:szCs w:val="16"/>
        </w:rPr>
        <w:t xml:space="preserve"> strafrechtlicher Entscheidungen, </w:t>
      </w:r>
      <w:proofErr w:type="spellStart"/>
      <w:r w:rsidRPr="00CC0FA4">
        <w:rPr>
          <w:rFonts w:ascii="Times New Roman" w:hAnsi="Times New Roman"/>
          <w:spacing w:val="-2"/>
          <w:sz w:val="16"/>
          <w:szCs w:val="16"/>
        </w:rPr>
        <w:t>JuS</w:t>
      </w:r>
      <w:proofErr w:type="spellEnd"/>
      <w:r w:rsidRPr="00CC0FA4">
        <w:rPr>
          <w:rFonts w:ascii="Times New Roman" w:hAnsi="Times New Roman"/>
          <w:spacing w:val="-2"/>
          <w:sz w:val="16"/>
          <w:szCs w:val="16"/>
        </w:rPr>
        <w:t xml:space="preserve"> 2001, 1102, 1209; </w:t>
      </w:r>
      <w:r w:rsidRPr="00CC0FA4">
        <w:rPr>
          <w:rFonts w:ascii="Times New Roman" w:hAnsi="Times New Roman"/>
          <w:i/>
          <w:spacing w:val="-2"/>
          <w:sz w:val="16"/>
          <w:szCs w:val="16"/>
        </w:rPr>
        <w:t>Martis</w:t>
      </w:r>
      <w:r w:rsidRPr="00CC0FA4">
        <w:rPr>
          <w:rFonts w:ascii="Times New Roman" w:hAnsi="Times New Roman"/>
          <w:spacing w:val="-2"/>
          <w:sz w:val="16"/>
          <w:szCs w:val="16"/>
        </w:rPr>
        <w:t xml:space="preserve">, Die Urteilsformel im Strafurteil bei Verurteilung, JA 1996, 416; </w:t>
      </w:r>
      <w:proofErr w:type="spellStart"/>
      <w:r w:rsidRPr="00CC0FA4">
        <w:rPr>
          <w:rFonts w:ascii="Times New Roman" w:hAnsi="Times New Roman"/>
          <w:i/>
          <w:spacing w:val="-2"/>
          <w:sz w:val="16"/>
          <w:szCs w:val="16"/>
        </w:rPr>
        <w:t>ders</w:t>
      </w:r>
      <w:proofErr w:type="spellEnd"/>
      <w:r w:rsidRPr="00CC0FA4">
        <w:rPr>
          <w:rFonts w:ascii="Times New Roman" w:hAnsi="Times New Roman"/>
          <w:i/>
          <w:spacing w:val="-2"/>
          <w:sz w:val="16"/>
          <w:szCs w:val="16"/>
        </w:rPr>
        <w:t>.</w:t>
      </w:r>
      <w:r w:rsidRPr="00CC0FA4">
        <w:rPr>
          <w:rFonts w:ascii="Times New Roman" w:hAnsi="Times New Roman"/>
          <w:spacing w:val="-2"/>
          <w:sz w:val="16"/>
          <w:szCs w:val="16"/>
        </w:rPr>
        <w:t xml:space="preserve">, Die Urteilsformel im Strafurteil bei Freispruch und Verfahrenseinstellung, JA 1996, 494; </w:t>
      </w:r>
      <w:r w:rsidRPr="00CC0FA4">
        <w:rPr>
          <w:rFonts w:ascii="Times New Roman" w:hAnsi="Times New Roman"/>
          <w:i/>
          <w:spacing w:val="-2"/>
          <w:sz w:val="16"/>
          <w:szCs w:val="16"/>
        </w:rPr>
        <w:t>Münzenberg</w:t>
      </w:r>
      <w:r w:rsidRPr="00CC0FA4">
        <w:rPr>
          <w:rFonts w:ascii="Times New Roman" w:hAnsi="Times New Roman"/>
          <w:spacing w:val="-2"/>
          <w:sz w:val="16"/>
          <w:szCs w:val="16"/>
        </w:rPr>
        <w:t>, Aufbauhinweise zum Urteil in Strafsachen 1. Instanz, JA 2001, 425</w:t>
      </w:r>
      <w:r w:rsidR="00A1127C" w:rsidRPr="00CC0FA4">
        <w:rPr>
          <w:rFonts w:ascii="Times New Roman" w:hAnsi="Times New Roman"/>
          <w:spacing w:val="-2"/>
          <w:sz w:val="16"/>
          <w:szCs w:val="16"/>
        </w:rPr>
        <w:t xml:space="preserve">; </w:t>
      </w:r>
      <w:r w:rsidR="00A1127C" w:rsidRPr="00CC0FA4">
        <w:rPr>
          <w:rFonts w:ascii="Times New Roman" w:hAnsi="Times New Roman"/>
          <w:i/>
          <w:spacing w:val="-2"/>
          <w:sz w:val="16"/>
          <w:szCs w:val="16"/>
        </w:rPr>
        <w:t>Schuster/</w:t>
      </w:r>
      <w:proofErr w:type="spellStart"/>
      <w:r w:rsidR="00A1127C" w:rsidRPr="00CC0FA4">
        <w:rPr>
          <w:rFonts w:ascii="Times New Roman" w:hAnsi="Times New Roman"/>
          <w:i/>
          <w:spacing w:val="-2"/>
          <w:sz w:val="16"/>
          <w:szCs w:val="16"/>
        </w:rPr>
        <w:t>Weitner</w:t>
      </w:r>
      <w:proofErr w:type="spellEnd"/>
      <w:r w:rsidR="00A1127C" w:rsidRPr="00CC0FA4">
        <w:rPr>
          <w:rFonts w:ascii="Times New Roman" w:hAnsi="Times New Roman"/>
          <w:spacing w:val="-2"/>
          <w:sz w:val="16"/>
          <w:szCs w:val="16"/>
        </w:rPr>
        <w:t>, Das Staatsanwaltsplädoyer/Strafurteil, JA 2015, 302.</w:t>
      </w:r>
    </w:p>
    <w:p w14:paraId="2EA37596" w14:textId="65582005" w:rsidR="00AF7055" w:rsidRPr="00AD53B9" w:rsidRDefault="00AF7055" w:rsidP="00AF7055">
      <w:pPr>
        <w:widowControl/>
        <w:tabs>
          <w:tab w:val="left" w:pos="-720"/>
          <w:tab w:val="left" w:pos="0"/>
          <w:tab w:val="left" w:pos="288"/>
          <w:tab w:val="left" w:pos="576"/>
          <w:tab w:val="left" w:pos="864"/>
          <w:tab w:val="left" w:pos="1116"/>
          <w:tab w:val="left" w:pos="1404"/>
          <w:tab w:val="left" w:pos="1692"/>
          <w:tab w:val="left" w:pos="2268"/>
          <w:tab w:val="left" w:pos="2880"/>
        </w:tabs>
        <w:ind w:left="1701" w:hanging="1701"/>
        <w:jc w:val="both"/>
        <w:rPr>
          <w:rFonts w:ascii="Times New Roman" w:hAnsi="Times New Roman"/>
          <w:spacing w:val="-2"/>
          <w:sz w:val="16"/>
          <w:szCs w:val="16"/>
        </w:rPr>
      </w:pPr>
      <w:r w:rsidRPr="00CC0FA4">
        <w:rPr>
          <w:rFonts w:ascii="Times New Roman" w:hAnsi="Times New Roman"/>
          <w:b/>
          <w:spacing w:val="-2"/>
          <w:sz w:val="16"/>
          <w:szCs w:val="16"/>
        </w:rPr>
        <w:t>Rechtsprechung:</w:t>
      </w:r>
      <w:r w:rsidRPr="00CC0FA4">
        <w:rPr>
          <w:rFonts w:ascii="Times New Roman" w:hAnsi="Times New Roman"/>
          <w:b/>
          <w:spacing w:val="-2"/>
          <w:sz w:val="16"/>
          <w:szCs w:val="16"/>
        </w:rPr>
        <w:tab/>
      </w:r>
      <w:r w:rsidRPr="00CC0FA4">
        <w:rPr>
          <w:rFonts w:ascii="Times New Roman" w:hAnsi="Times New Roman"/>
          <w:b/>
          <w:spacing w:val="-2"/>
          <w:sz w:val="16"/>
          <w:szCs w:val="16"/>
        </w:rPr>
        <w:tab/>
        <w:t xml:space="preserve">BVerfGE 65, 377 </w:t>
      </w:r>
      <w:r w:rsidRPr="00CC0FA4">
        <w:rPr>
          <w:rFonts w:ascii="Times New Roman" w:hAnsi="Times New Roman"/>
          <w:spacing w:val="-2"/>
          <w:sz w:val="16"/>
          <w:szCs w:val="16"/>
        </w:rPr>
        <w:t xml:space="preserve">– Späterer Opfertod (Rechtskraft eines Strafbefehls); </w:t>
      </w:r>
      <w:r w:rsidRPr="00CC0FA4">
        <w:rPr>
          <w:rFonts w:ascii="Times New Roman" w:hAnsi="Times New Roman"/>
          <w:b/>
          <w:spacing w:val="-2"/>
          <w:sz w:val="16"/>
          <w:szCs w:val="16"/>
        </w:rPr>
        <w:t xml:space="preserve">BGHSt 5, 5 </w:t>
      </w:r>
      <w:r w:rsidRPr="00CC0FA4">
        <w:rPr>
          <w:rFonts w:ascii="Times New Roman" w:hAnsi="Times New Roman"/>
          <w:spacing w:val="-2"/>
          <w:sz w:val="16"/>
          <w:szCs w:val="16"/>
        </w:rPr>
        <w:t xml:space="preserve">– Lastkraftwagen (Urteilsberichtigung); </w:t>
      </w:r>
      <w:r w:rsidRPr="00CC0FA4">
        <w:rPr>
          <w:rFonts w:ascii="Times New Roman" w:hAnsi="Times New Roman"/>
          <w:b/>
          <w:spacing w:val="-2"/>
          <w:sz w:val="16"/>
          <w:szCs w:val="16"/>
        </w:rPr>
        <w:t xml:space="preserve">BGHSt 5, 323 </w:t>
      </w:r>
      <w:r w:rsidRPr="00CC0FA4">
        <w:rPr>
          <w:rFonts w:ascii="Times New Roman" w:hAnsi="Times New Roman"/>
          <w:spacing w:val="-2"/>
          <w:sz w:val="16"/>
          <w:szCs w:val="16"/>
        </w:rPr>
        <w:t>– Wiederaufnahme (Verfahrenshindernis bei materieller Rechtskraft);</w:t>
      </w:r>
      <w:r w:rsidR="00063EAC" w:rsidRPr="00AF3CBC">
        <w:rPr>
          <w:rFonts w:ascii="Times New Roman" w:hAnsi="Times New Roman"/>
          <w:b/>
          <w:bCs/>
          <w:color w:val="339966"/>
          <w:sz w:val="16"/>
          <w:szCs w:val="16"/>
        </w:rPr>
        <w:t xml:space="preserve"> </w:t>
      </w:r>
      <w:r w:rsidR="00063EAC" w:rsidRPr="00CC0FA4">
        <w:rPr>
          <w:rFonts w:ascii="Times New Roman" w:hAnsi="Times New Roman"/>
          <w:b/>
          <w:bCs/>
          <w:spacing w:val="-2"/>
          <w:sz w:val="16"/>
          <w:szCs w:val="16"/>
        </w:rPr>
        <w:t>BGHSt 29, 288</w:t>
      </w:r>
      <w:r w:rsidR="00063EAC" w:rsidRPr="00CC0FA4">
        <w:rPr>
          <w:rFonts w:ascii="Times New Roman" w:hAnsi="Times New Roman"/>
          <w:bCs/>
          <w:spacing w:val="-2"/>
          <w:sz w:val="16"/>
          <w:szCs w:val="16"/>
        </w:rPr>
        <w:t xml:space="preserve"> – RAF I (nachträgliche Verurteilung wegen Tötungsdelikten trotz Aburteilung gemäß § 129 StGB);</w:t>
      </w:r>
      <w:r w:rsidRPr="00CC0FA4">
        <w:rPr>
          <w:rFonts w:ascii="Times New Roman" w:hAnsi="Times New Roman"/>
          <w:spacing w:val="-2"/>
          <w:sz w:val="16"/>
          <w:szCs w:val="16"/>
        </w:rPr>
        <w:t xml:space="preserve"> </w:t>
      </w:r>
      <w:r w:rsidRPr="00CC0FA4">
        <w:rPr>
          <w:rFonts w:ascii="Times New Roman" w:hAnsi="Times New Roman"/>
          <w:b/>
          <w:spacing w:val="-2"/>
          <w:sz w:val="16"/>
          <w:szCs w:val="16"/>
        </w:rPr>
        <w:t>BGHSt 52, 275</w:t>
      </w:r>
      <w:r w:rsidRPr="00CC0FA4">
        <w:rPr>
          <w:rFonts w:ascii="Times New Roman" w:hAnsi="Times New Roman"/>
          <w:spacing w:val="-2"/>
          <w:sz w:val="16"/>
          <w:szCs w:val="16"/>
        </w:rPr>
        <w:t xml:space="preserve"> – Schmuggelfahrt (Strafklageverbrauch bei Verurteilung in andere</w:t>
      </w:r>
      <w:r w:rsidR="00411029" w:rsidRPr="00CC0FA4">
        <w:rPr>
          <w:rFonts w:ascii="Times New Roman" w:hAnsi="Times New Roman"/>
          <w:spacing w:val="-2"/>
          <w:sz w:val="16"/>
          <w:szCs w:val="16"/>
        </w:rPr>
        <w:t>m</w:t>
      </w:r>
      <w:r w:rsidRPr="00CC0FA4">
        <w:rPr>
          <w:rFonts w:ascii="Times New Roman" w:hAnsi="Times New Roman"/>
          <w:spacing w:val="-2"/>
          <w:sz w:val="16"/>
          <w:szCs w:val="16"/>
        </w:rPr>
        <w:t xml:space="preserve"> EU-Mitgliedsstaat)</w:t>
      </w:r>
      <w:r w:rsidR="00087933" w:rsidRPr="00CC0FA4">
        <w:rPr>
          <w:rFonts w:ascii="Times New Roman" w:hAnsi="Times New Roman"/>
          <w:spacing w:val="-2"/>
          <w:sz w:val="16"/>
          <w:szCs w:val="16"/>
        </w:rPr>
        <w:t xml:space="preserve">; </w:t>
      </w:r>
      <w:r w:rsidR="00087933" w:rsidRPr="00CC0FA4">
        <w:rPr>
          <w:rFonts w:ascii="Times New Roman" w:hAnsi="Times New Roman"/>
          <w:b/>
          <w:spacing w:val="-2"/>
          <w:sz w:val="16"/>
          <w:szCs w:val="16"/>
        </w:rPr>
        <w:t>BGHSt 66, 20</w:t>
      </w:r>
      <w:r w:rsidR="00087933" w:rsidRPr="00CC0FA4">
        <w:rPr>
          <w:rFonts w:ascii="Times New Roman" w:hAnsi="Times New Roman"/>
          <w:spacing w:val="-2"/>
          <w:sz w:val="16"/>
          <w:szCs w:val="16"/>
        </w:rPr>
        <w:t xml:space="preserve"> – Rechtlicher Hinweis auf Einziehung (Anknüpfungstatsachen in Anklage)</w:t>
      </w:r>
      <w:r w:rsidR="00C1291F" w:rsidRPr="00CC0FA4">
        <w:rPr>
          <w:rFonts w:ascii="Times New Roman" w:hAnsi="Times New Roman"/>
          <w:spacing w:val="-2"/>
          <w:sz w:val="16"/>
          <w:szCs w:val="16"/>
        </w:rPr>
        <w:t xml:space="preserve">; </w:t>
      </w:r>
      <w:r w:rsidR="00CC0FA4" w:rsidRPr="00AF3CBC">
        <w:rPr>
          <w:rFonts w:ascii="Times New Roman" w:hAnsi="Times New Roman"/>
          <w:b/>
          <w:bCs/>
          <w:spacing w:val="-2"/>
          <w:sz w:val="16"/>
          <w:szCs w:val="16"/>
        </w:rPr>
        <w:t>BGH NStZ-RR 2022, 87</w:t>
      </w:r>
      <w:r w:rsidR="00CC0FA4" w:rsidRPr="00CC0FA4">
        <w:rPr>
          <w:rFonts w:ascii="Times New Roman" w:hAnsi="Times New Roman"/>
          <w:spacing w:val="-2"/>
          <w:sz w:val="16"/>
          <w:szCs w:val="16"/>
        </w:rPr>
        <w:t xml:space="preserve"> – Ausurteilung nicht angeklagter Taten (fehlende Nachtragsanklage); </w:t>
      </w:r>
      <w:r w:rsidR="00C1291F" w:rsidRPr="00AF3CBC">
        <w:rPr>
          <w:rFonts w:ascii="Times New Roman" w:hAnsi="Times New Roman"/>
          <w:b/>
          <w:bCs/>
          <w:spacing w:val="-2"/>
          <w:sz w:val="16"/>
          <w:szCs w:val="16"/>
        </w:rPr>
        <w:t xml:space="preserve">OLG Hamm </w:t>
      </w:r>
      <w:r w:rsidR="00CC0FA4" w:rsidRPr="00AF3CBC">
        <w:rPr>
          <w:rFonts w:ascii="Times New Roman" w:hAnsi="Times New Roman"/>
          <w:b/>
          <w:bCs/>
          <w:spacing w:val="-2"/>
          <w:sz w:val="16"/>
          <w:szCs w:val="16"/>
        </w:rPr>
        <w:t>BeckRS 2024, 13478</w:t>
      </w:r>
      <w:r w:rsidR="00CC0FA4" w:rsidRPr="00CC0FA4">
        <w:rPr>
          <w:rFonts w:ascii="Times New Roman" w:hAnsi="Times New Roman"/>
          <w:spacing w:val="-2"/>
          <w:sz w:val="16"/>
          <w:szCs w:val="16"/>
        </w:rPr>
        <w:t xml:space="preserve"> – </w:t>
      </w:r>
      <w:r w:rsidR="004F36D0">
        <w:rPr>
          <w:rFonts w:ascii="Times New Roman" w:hAnsi="Times New Roman"/>
          <w:spacing w:val="-2"/>
          <w:sz w:val="16"/>
          <w:szCs w:val="16"/>
        </w:rPr>
        <w:t>Urteilsinhalt (</w:t>
      </w:r>
      <w:r w:rsidR="00CC0FA4" w:rsidRPr="00CC0FA4">
        <w:rPr>
          <w:rFonts w:ascii="Times New Roman" w:hAnsi="Times New Roman"/>
          <w:spacing w:val="-2"/>
          <w:sz w:val="16"/>
          <w:szCs w:val="16"/>
        </w:rPr>
        <w:t>Divergenz zwischen der Urteilsformel in dem Hauptverhandlungsprotokoll und dem Tenor in den schriftlichen Urteilsgründen</w:t>
      </w:r>
      <w:r w:rsidR="004F36D0">
        <w:rPr>
          <w:rFonts w:ascii="Times New Roman" w:hAnsi="Times New Roman"/>
          <w:spacing w:val="-2"/>
          <w:sz w:val="16"/>
          <w:szCs w:val="16"/>
        </w:rPr>
        <w:t>)</w:t>
      </w:r>
      <w:r w:rsidR="00CC0FA4" w:rsidRPr="00CC0FA4">
        <w:rPr>
          <w:rFonts w:ascii="Times New Roman" w:hAnsi="Times New Roman"/>
          <w:spacing w:val="-2"/>
          <w:sz w:val="16"/>
          <w:szCs w:val="16"/>
        </w:rPr>
        <w:t>.</w:t>
      </w:r>
    </w:p>
    <w:sectPr w:rsidR="00AF7055" w:rsidRPr="00AD53B9" w:rsidSect="00AF7055">
      <w:pgSz w:w="11906" w:h="16838"/>
      <w:pgMar w:top="567" w:right="624" w:bottom="454"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FD71" w14:textId="77777777" w:rsidR="008622AC" w:rsidRDefault="008622AC">
      <w:pPr>
        <w:widowControl/>
        <w:spacing w:line="-20" w:lineRule="auto"/>
      </w:pPr>
    </w:p>
  </w:endnote>
  <w:endnote w:type="continuationSeparator" w:id="0">
    <w:p w14:paraId="33ECCE58" w14:textId="77777777" w:rsidR="008622AC" w:rsidRDefault="008622AC">
      <w:r>
        <w:t xml:space="preserve"> </w:t>
      </w:r>
    </w:p>
  </w:endnote>
  <w:endnote w:type="continuationNotice" w:id="1">
    <w:p w14:paraId="1BCFBBD0" w14:textId="77777777" w:rsidR="008622AC" w:rsidRDefault="008622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3AD4" w14:textId="77777777" w:rsidR="008622AC" w:rsidRDefault="008622AC">
      <w:r>
        <w:separator/>
      </w:r>
    </w:p>
  </w:footnote>
  <w:footnote w:type="continuationSeparator" w:id="0">
    <w:p w14:paraId="33EA9CA8" w14:textId="77777777" w:rsidR="008622AC" w:rsidRDefault="00862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E54C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593240"/>
    <w:multiLevelType w:val="hybridMultilevel"/>
    <w:tmpl w:val="2ACAE1FC"/>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86241302">
    <w:abstractNumId w:val="1"/>
  </w:num>
  <w:num w:numId="2" w16cid:durableId="75852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efaultTabStop w:val="720"/>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02"/>
    <w:rsid w:val="00030BB4"/>
    <w:rsid w:val="00035C13"/>
    <w:rsid w:val="00063EAC"/>
    <w:rsid w:val="00083D69"/>
    <w:rsid w:val="00087933"/>
    <w:rsid w:val="00133CA1"/>
    <w:rsid w:val="00165C21"/>
    <w:rsid w:val="001817A1"/>
    <w:rsid w:val="00185D5D"/>
    <w:rsid w:val="001863DB"/>
    <w:rsid w:val="001B0D98"/>
    <w:rsid w:val="001C22EB"/>
    <w:rsid w:val="001C4006"/>
    <w:rsid w:val="001D382C"/>
    <w:rsid w:val="001D4941"/>
    <w:rsid w:val="001E0826"/>
    <w:rsid w:val="0022439E"/>
    <w:rsid w:val="00226A02"/>
    <w:rsid w:val="00245D69"/>
    <w:rsid w:val="002A186D"/>
    <w:rsid w:val="002A305F"/>
    <w:rsid w:val="002B1124"/>
    <w:rsid w:val="003208EA"/>
    <w:rsid w:val="0034095C"/>
    <w:rsid w:val="00352E5F"/>
    <w:rsid w:val="00373C25"/>
    <w:rsid w:val="003A4263"/>
    <w:rsid w:val="003E7942"/>
    <w:rsid w:val="00411029"/>
    <w:rsid w:val="004625D7"/>
    <w:rsid w:val="004B125C"/>
    <w:rsid w:val="004B76FF"/>
    <w:rsid w:val="004E37C4"/>
    <w:rsid w:val="004F36D0"/>
    <w:rsid w:val="00510971"/>
    <w:rsid w:val="00576674"/>
    <w:rsid w:val="005821B0"/>
    <w:rsid w:val="005A06CE"/>
    <w:rsid w:val="005B45DC"/>
    <w:rsid w:val="005F18CC"/>
    <w:rsid w:val="005F1C3A"/>
    <w:rsid w:val="005F3937"/>
    <w:rsid w:val="00677FDE"/>
    <w:rsid w:val="00695A38"/>
    <w:rsid w:val="006A7546"/>
    <w:rsid w:val="006E415B"/>
    <w:rsid w:val="00701B60"/>
    <w:rsid w:val="00714FDC"/>
    <w:rsid w:val="00722DFE"/>
    <w:rsid w:val="00727ACF"/>
    <w:rsid w:val="0074509A"/>
    <w:rsid w:val="00775470"/>
    <w:rsid w:val="00784045"/>
    <w:rsid w:val="007A6938"/>
    <w:rsid w:val="00811FAE"/>
    <w:rsid w:val="008317DE"/>
    <w:rsid w:val="0084669A"/>
    <w:rsid w:val="008622AC"/>
    <w:rsid w:val="00880221"/>
    <w:rsid w:val="008877B5"/>
    <w:rsid w:val="008B198E"/>
    <w:rsid w:val="008B7A21"/>
    <w:rsid w:val="00907A71"/>
    <w:rsid w:val="009435D5"/>
    <w:rsid w:val="009637F6"/>
    <w:rsid w:val="0096717D"/>
    <w:rsid w:val="009A62DC"/>
    <w:rsid w:val="009E27AE"/>
    <w:rsid w:val="009E758D"/>
    <w:rsid w:val="00A1127C"/>
    <w:rsid w:val="00A21188"/>
    <w:rsid w:val="00A43D9E"/>
    <w:rsid w:val="00A441F4"/>
    <w:rsid w:val="00A71FD6"/>
    <w:rsid w:val="00A81A0E"/>
    <w:rsid w:val="00AA3E56"/>
    <w:rsid w:val="00AA73A0"/>
    <w:rsid w:val="00AD53B9"/>
    <w:rsid w:val="00AF3CBC"/>
    <w:rsid w:val="00AF7055"/>
    <w:rsid w:val="00BE1940"/>
    <w:rsid w:val="00BE5442"/>
    <w:rsid w:val="00BE588A"/>
    <w:rsid w:val="00C1291F"/>
    <w:rsid w:val="00C17EB5"/>
    <w:rsid w:val="00C25A4A"/>
    <w:rsid w:val="00C77B78"/>
    <w:rsid w:val="00CA0CBB"/>
    <w:rsid w:val="00CC0FA4"/>
    <w:rsid w:val="00CE2E7B"/>
    <w:rsid w:val="00D55C5D"/>
    <w:rsid w:val="00D871FD"/>
    <w:rsid w:val="00D905D4"/>
    <w:rsid w:val="00DA5910"/>
    <w:rsid w:val="00DD1037"/>
    <w:rsid w:val="00E911B0"/>
    <w:rsid w:val="00EA1959"/>
    <w:rsid w:val="00EF5524"/>
    <w:rsid w:val="00EF5B2A"/>
    <w:rsid w:val="00F03A12"/>
    <w:rsid w:val="00F04FA7"/>
    <w:rsid w:val="00F26FBD"/>
    <w:rsid w:val="00F37F53"/>
    <w:rsid w:val="00F63EC9"/>
    <w:rsid w:val="00FA6A31"/>
    <w:rsid w:val="00FE71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538E84"/>
  <w15:chartTrackingRefBased/>
  <w15:docId w15:val="{CA35DBBB-B2A5-4E61-956F-0F9D53AB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207D9A"/>
    <w:rPr>
      <w:rFonts w:ascii="Tahoma" w:hAnsi="Tahoma" w:cs="Tahoma"/>
      <w:sz w:val="16"/>
      <w:szCs w:val="16"/>
    </w:rPr>
  </w:style>
  <w:style w:type="character" w:styleId="Kommentarzeichen">
    <w:name w:val="annotation reference"/>
    <w:uiPriority w:val="99"/>
    <w:semiHidden/>
    <w:unhideWhenUsed/>
    <w:rsid w:val="00F04FA7"/>
    <w:rPr>
      <w:sz w:val="16"/>
      <w:szCs w:val="16"/>
    </w:rPr>
  </w:style>
  <w:style w:type="paragraph" w:styleId="Kommentartext">
    <w:name w:val="annotation text"/>
    <w:basedOn w:val="Standard"/>
    <w:link w:val="KommentartextZchn"/>
    <w:uiPriority w:val="99"/>
    <w:semiHidden/>
    <w:unhideWhenUsed/>
    <w:rsid w:val="00F04FA7"/>
    <w:rPr>
      <w:sz w:val="20"/>
    </w:rPr>
  </w:style>
  <w:style w:type="character" w:customStyle="1" w:styleId="KommentartextZchn">
    <w:name w:val="Kommentartext Zchn"/>
    <w:link w:val="Kommentartext"/>
    <w:uiPriority w:val="99"/>
    <w:semiHidden/>
    <w:rsid w:val="00F04FA7"/>
    <w:rPr>
      <w:rFonts w:ascii="Dutch Roman 12pt" w:hAnsi="Dutch Roman 12pt"/>
    </w:rPr>
  </w:style>
  <w:style w:type="paragraph" w:styleId="Kommentarthema">
    <w:name w:val="annotation subject"/>
    <w:basedOn w:val="Kommentartext"/>
    <w:next w:val="Kommentartext"/>
    <w:link w:val="KommentarthemaZchn"/>
    <w:uiPriority w:val="99"/>
    <w:semiHidden/>
    <w:unhideWhenUsed/>
    <w:rsid w:val="00F04FA7"/>
    <w:rPr>
      <w:b/>
      <w:bCs/>
    </w:rPr>
  </w:style>
  <w:style w:type="character" w:customStyle="1" w:styleId="KommentarthemaZchn">
    <w:name w:val="Kommentarthema Zchn"/>
    <w:link w:val="Kommentarthema"/>
    <w:uiPriority w:val="99"/>
    <w:semiHidden/>
    <w:rsid w:val="00F04FA7"/>
    <w:rPr>
      <w:rFonts w:ascii="Dutch Roman 12pt" w:hAnsi="Dutch Roman 12pt"/>
      <w:b/>
      <w:bCs/>
    </w:rPr>
  </w:style>
  <w:style w:type="paragraph" w:styleId="berarbeitung">
    <w:name w:val="Revision"/>
    <w:hidden/>
    <w:uiPriority w:val="71"/>
    <w:rsid w:val="005A06CE"/>
    <w:rPr>
      <w:rFonts w:ascii="Dutch Roman 12pt"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1048</Words>
  <Characters>6609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cp:lastModifiedBy>Judith Schult</cp:lastModifiedBy>
  <cp:revision>2</cp:revision>
  <cp:lastPrinted>2020-10-23T16:04:00Z</cp:lastPrinted>
  <dcterms:created xsi:type="dcterms:W3CDTF">2024-10-10T14:58:00Z</dcterms:created>
  <dcterms:modified xsi:type="dcterms:W3CDTF">2024-10-10T14:58:00Z</dcterms:modified>
</cp:coreProperties>
</file>