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441F8" w14:textId="2F6B8B44" w:rsidR="0075570A" w:rsidRDefault="0075570A" w:rsidP="00312FE2">
      <w:pPr>
        <w:tabs>
          <w:tab w:val="right" w:pos="10206"/>
        </w:tabs>
        <w:jc w:val="both"/>
        <w:rPr>
          <w:spacing w:val="-3"/>
        </w:rPr>
      </w:pPr>
      <w:r>
        <w:rPr>
          <w:b/>
          <w:spacing w:val="-3"/>
        </w:rPr>
        <w:t xml:space="preserve">Prof. Dr. </w:t>
      </w:r>
      <w:r w:rsidR="008E7F68">
        <w:rPr>
          <w:b/>
          <w:spacing w:val="-3"/>
        </w:rPr>
        <w:t xml:space="preserve">Dr. h.c. </w:t>
      </w:r>
      <w:r>
        <w:rPr>
          <w:b/>
          <w:spacing w:val="-3"/>
        </w:rPr>
        <w:t>Bernd Heinrich/</w:t>
      </w:r>
      <w:r w:rsidR="003E67A2">
        <w:rPr>
          <w:b/>
          <w:spacing w:val="-3"/>
        </w:rPr>
        <w:t>Pr</w:t>
      </w:r>
      <w:r w:rsidR="00173AD6">
        <w:rPr>
          <w:b/>
          <w:spacing w:val="-3"/>
        </w:rPr>
        <w:t>of</w:t>
      </w:r>
      <w:r w:rsidR="003E67A2">
        <w:rPr>
          <w:b/>
          <w:spacing w:val="-3"/>
        </w:rPr>
        <w:t xml:space="preserve">. </w:t>
      </w:r>
      <w:r>
        <w:rPr>
          <w:b/>
          <w:spacing w:val="-3"/>
        </w:rPr>
        <w:t>Dr. Tobias Re</w:t>
      </w:r>
      <w:r w:rsidR="00E825EB">
        <w:rPr>
          <w:b/>
          <w:spacing w:val="-3"/>
        </w:rPr>
        <w:t>inbacher</w:t>
      </w:r>
      <w:r w:rsidR="00E825EB">
        <w:rPr>
          <w:b/>
          <w:spacing w:val="-3"/>
        </w:rPr>
        <w:tab/>
        <w:t xml:space="preserve">Stand: 1. </w:t>
      </w:r>
      <w:r w:rsidR="005921ED">
        <w:rPr>
          <w:b/>
          <w:spacing w:val="-3"/>
        </w:rPr>
        <w:t>Oktober</w:t>
      </w:r>
      <w:r w:rsidR="00DC7CD9">
        <w:rPr>
          <w:b/>
          <w:spacing w:val="-3"/>
        </w:rPr>
        <w:t xml:space="preserve"> </w:t>
      </w:r>
      <w:r w:rsidR="00727729">
        <w:rPr>
          <w:b/>
          <w:spacing w:val="-3"/>
        </w:rPr>
        <w:t>20</w:t>
      </w:r>
      <w:r w:rsidR="00AB702B">
        <w:rPr>
          <w:b/>
          <w:spacing w:val="-3"/>
        </w:rPr>
        <w:t>2</w:t>
      </w:r>
      <w:r w:rsidR="00E2199D">
        <w:rPr>
          <w:b/>
          <w:spacing w:val="-3"/>
        </w:rPr>
        <w:t>4</w:t>
      </w:r>
    </w:p>
    <w:p w14:paraId="7013D0E2" w14:textId="18E4D89C" w:rsidR="0075570A" w:rsidRDefault="0075570A" w:rsidP="0075570A">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E2199D">
        <w:rPr>
          <w:b/>
          <w:spacing w:val="-3"/>
        </w:rPr>
        <w:t> </w:t>
      </w:r>
      <w:r>
        <w:rPr>
          <w:b/>
          <w:spacing w:val="-3"/>
        </w:rPr>
        <w:t>42</w:t>
      </w:r>
    </w:p>
    <w:p w14:paraId="43416FCD" w14:textId="77777777" w:rsidR="0075570A" w:rsidRPr="00312FE2" w:rsidRDefault="0075570A" w:rsidP="0075570A">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312FE2">
        <w:rPr>
          <w:b/>
          <w:spacing w:val="-7"/>
          <w:sz w:val="52"/>
          <w:szCs w:val="52"/>
        </w:rPr>
        <w:t>Rechtsbehelfe – Überblick</w:t>
      </w:r>
    </w:p>
    <w:p w14:paraId="406AF57F" w14:textId="77777777" w:rsidR="0075570A" w:rsidRDefault="0075570A">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77656E">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6F46C8">
        <w:rPr>
          <w:rFonts w:ascii="Times New Roman" w:hAnsi="Times New Roman"/>
          <w:noProof/>
          <w:vanish/>
          <w:spacing w:val="-7"/>
          <w:sz w:val="60"/>
        </w:rPr>
        <w:t>1</w:t>
      </w:r>
      <w:r>
        <w:rPr>
          <w:rFonts w:ascii="Times New Roman" w:hAnsi="Times New Roman"/>
          <w:vanish/>
          <w:spacing w:val="-7"/>
          <w:sz w:val="60"/>
        </w:rPr>
        <w:fldChar w:fldCharType="end"/>
      </w:r>
    </w:p>
    <w:p w14:paraId="6258E3CC" w14:textId="77777777" w:rsidR="0075570A" w:rsidRPr="00514EEF" w:rsidRDefault="0075570A">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rPr>
      </w:pPr>
    </w:p>
    <w:p w14:paraId="07280113" w14:textId="1E5699A3" w:rsidR="0075570A" w:rsidRPr="00702446" w:rsidRDefault="0075570A" w:rsidP="000E2ECE">
      <w:pPr>
        <w:widowControl/>
        <w:tabs>
          <w:tab w:val="left" w:pos="-720"/>
          <w:tab w:val="left" w:pos="0"/>
          <w:tab w:val="left" w:pos="284"/>
          <w:tab w:val="left" w:pos="426"/>
          <w:tab w:val="left" w:pos="576"/>
          <w:tab w:val="left" w:pos="864"/>
          <w:tab w:val="left" w:pos="1116"/>
          <w:tab w:val="left" w:pos="1404"/>
          <w:tab w:val="left" w:pos="1692"/>
          <w:tab w:val="left" w:pos="1980"/>
          <w:tab w:val="left" w:pos="2268"/>
          <w:tab w:val="left" w:pos="2880"/>
        </w:tabs>
        <w:ind w:left="288" w:hanging="288"/>
        <w:jc w:val="both"/>
        <w:outlineLvl w:val="0"/>
        <w:rPr>
          <w:rFonts w:ascii="Times New Roman" w:hAnsi="Times New Roman"/>
          <w:spacing w:val="-2"/>
          <w:sz w:val="17"/>
          <w:szCs w:val="17"/>
        </w:rPr>
      </w:pPr>
      <w:r w:rsidRPr="00702446">
        <w:rPr>
          <w:rFonts w:ascii="Times New Roman" w:hAnsi="Times New Roman"/>
          <w:b/>
          <w:spacing w:val="-2"/>
          <w:sz w:val="17"/>
          <w:szCs w:val="17"/>
        </w:rPr>
        <w:t xml:space="preserve">I. </w:t>
      </w:r>
      <w:r w:rsidRPr="00702446">
        <w:rPr>
          <w:rFonts w:ascii="Times New Roman" w:hAnsi="Times New Roman"/>
          <w:b/>
          <w:spacing w:val="-2"/>
          <w:sz w:val="17"/>
          <w:szCs w:val="17"/>
        </w:rPr>
        <w:tab/>
        <w:t>Arten der Rechtsbehelfe:</w:t>
      </w:r>
    </w:p>
    <w:p w14:paraId="24BDE1F6" w14:textId="706F9980" w:rsidR="0075570A" w:rsidRPr="00702446" w:rsidRDefault="0075570A" w:rsidP="0075570A">
      <w:pPr>
        <w:widowControl/>
        <w:tabs>
          <w:tab w:val="left" w:pos="-720"/>
          <w:tab w:val="left" w:pos="0"/>
          <w:tab w:val="left" w:pos="142"/>
          <w:tab w:val="left" w:pos="567"/>
          <w:tab w:val="left" w:pos="864"/>
          <w:tab w:val="left" w:pos="1116"/>
          <w:tab w:val="left" w:pos="1404"/>
          <w:tab w:val="left" w:pos="1692"/>
          <w:tab w:val="left" w:pos="1980"/>
          <w:tab w:val="left" w:pos="2268"/>
          <w:tab w:val="left" w:pos="2880"/>
        </w:tabs>
        <w:ind w:left="569" w:hanging="285"/>
        <w:jc w:val="both"/>
        <w:rPr>
          <w:rFonts w:ascii="Times New Roman" w:hAnsi="Times New Roman"/>
          <w:spacing w:val="-2"/>
          <w:sz w:val="17"/>
          <w:szCs w:val="17"/>
        </w:rPr>
      </w:pPr>
      <w:r w:rsidRPr="00702446">
        <w:rPr>
          <w:rFonts w:ascii="Times New Roman" w:hAnsi="Times New Roman"/>
          <w:spacing w:val="-2"/>
          <w:sz w:val="17"/>
          <w:szCs w:val="17"/>
          <w:u w:val="single"/>
        </w:rPr>
        <w:t xml:space="preserve">1. </w:t>
      </w:r>
      <w:r w:rsidRPr="00702446">
        <w:rPr>
          <w:rFonts w:ascii="Times New Roman" w:hAnsi="Times New Roman"/>
          <w:spacing w:val="-2"/>
          <w:sz w:val="17"/>
          <w:szCs w:val="17"/>
          <w:u w:val="single"/>
        </w:rPr>
        <w:tab/>
        <w:t>Ordentliche Rechtsbehelfe:</w:t>
      </w:r>
      <w:r w:rsidRPr="00702446">
        <w:rPr>
          <w:rFonts w:ascii="Times New Roman" w:hAnsi="Times New Roman"/>
          <w:b/>
          <w:spacing w:val="-2"/>
          <w:sz w:val="17"/>
          <w:szCs w:val="17"/>
        </w:rPr>
        <w:t xml:space="preserve"> </w:t>
      </w:r>
      <w:r w:rsidRPr="00702446">
        <w:rPr>
          <w:rFonts w:ascii="Times New Roman" w:hAnsi="Times New Roman"/>
          <w:spacing w:val="-2"/>
          <w:sz w:val="17"/>
          <w:szCs w:val="17"/>
        </w:rPr>
        <w:t>Bis auf den Einspruch gegen den Strafbefehl (unten 1. d) werden diese auch als „Rechtsmittel“ bezeichnet (vgl. §§</w:t>
      </w:r>
      <w:r w:rsidR="00810771">
        <w:rPr>
          <w:rFonts w:ascii="Times New Roman" w:hAnsi="Times New Roman"/>
          <w:spacing w:val="-2"/>
          <w:sz w:val="17"/>
          <w:szCs w:val="17"/>
        </w:rPr>
        <w:t> </w:t>
      </w:r>
      <w:r w:rsidRPr="00702446">
        <w:rPr>
          <w:rFonts w:ascii="Times New Roman" w:hAnsi="Times New Roman"/>
          <w:spacing w:val="-2"/>
          <w:sz w:val="17"/>
          <w:szCs w:val="17"/>
        </w:rPr>
        <w:t>296</w:t>
      </w:r>
      <w:r w:rsidR="006F46C8">
        <w:rPr>
          <w:rFonts w:ascii="Times New Roman" w:hAnsi="Times New Roman"/>
          <w:spacing w:val="-2"/>
          <w:sz w:val="17"/>
          <w:szCs w:val="17"/>
        </w:rPr>
        <w:t> </w:t>
      </w:r>
      <w:r w:rsidRPr="00702446">
        <w:rPr>
          <w:rFonts w:ascii="Times New Roman" w:hAnsi="Times New Roman"/>
          <w:spacing w:val="-2"/>
          <w:sz w:val="17"/>
          <w:szCs w:val="17"/>
        </w:rPr>
        <w:t>ff. StPO).</w:t>
      </w:r>
    </w:p>
    <w:p w14:paraId="23926CB7" w14:textId="77777777" w:rsidR="0075570A" w:rsidRPr="00702446" w:rsidRDefault="0075570A" w:rsidP="0075570A">
      <w:pPr>
        <w:widowControl/>
        <w:tabs>
          <w:tab w:val="left" w:pos="-720"/>
          <w:tab w:val="left" w:pos="0"/>
          <w:tab w:val="left" w:pos="567"/>
          <w:tab w:val="left" w:pos="709"/>
          <w:tab w:val="left" w:pos="851"/>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a) </w:t>
      </w:r>
      <w:r w:rsidRPr="00702446">
        <w:rPr>
          <w:rFonts w:ascii="Times New Roman" w:hAnsi="Times New Roman"/>
          <w:spacing w:val="-2"/>
          <w:sz w:val="17"/>
          <w:szCs w:val="17"/>
        </w:rPr>
        <w:tab/>
      </w:r>
      <w:r w:rsidRPr="00702446">
        <w:rPr>
          <w:rFonts w:ascii="Times New Roman" w:hAnsi="Times New Roman"/>
          <w:b/>
          <w:spacing w:val="-2"/>
          <w:sz w:val="17"/>
          <w:szCs w:val="17"/>
        </w:rPr>
        <w:t>Beschwerde</w:t>
      </w:r>
      <w:r w:rsidRPr="00702446">
        <w:rPr>
          <w:rFonts w:ascii="Times New Roman" w:hAnsi="Times New Roman"/>
          <w:spacing w:val="-2"/>
          <w:sz w:val="17"/>
          <w:szCs w:val="17"/>
        </w:rPr>
        <w:t xml:space="preserve">, §§ 304-311a StPO: Überprüfung von bestimmten (vgl. §§ 304, 305 StPO) </w:t>
      </w:r>
      <w:r w:rsidRPr="00702446">
        <w:rPr>
          <w:rFonts w:ascii="Times New Roman" w:hAnsi="Times New Roman"/>
          <w:b/>
          <w:spacing w:val="-2"/>
          <w:sz w:val="17"/>
          <w:szCs w:val="17"/>
        </w:rPr>
        <w:t>Beschlüssen</w:t>
      </w:r>
      <w:r w:rsidRPr="00702446">
        <w:rPr>
          <w:rFonts w:ascii="Times New Roman" w:hAnsi="Times New Roman"/>
          <w:spacing w:val="-2"/>
          <w:sz w:val="17"/>
          <w:szCs w:val="17"/>
        </w:rPr>
        <w:t xml:space="preserve"> des Gerichts und </w:t>
      </w:r>
      <w:r w:rsidRPr="00702446">
        <w:rPr>
          <w:rFonts w:ascii="Times New Roman" w:hAnsi="Times New Roman"/>
          <w:b/>
          <w:spacing w:val="-2"/>
          <w:sz w:val="17"/>
          <w:szCs w:val="17"/>
        </w:rPr>
        <w:t>Verfügungen</w:t>
      </w:r>
      <w:r w:rsidRPr="00702446">
        <w:rPr>
          <w:rFonts w:ascii="Times New Roman" w:hAnsi="Times New Roman"/>
          <w:spacing w:val="-2"/>
          <w:sz w:val="17"/>
          <w:szCs w:val="17"/>
        </w:rPr>
        <w:t xml:space="preserve"> des Vorsitzenden in rechtlicher und tatsächlicher Hinsicht.</w:t>
      </w:r>
    </w:p>
    <w:p w14:paraId="436173DC" w14:textId="7B50C832" w:rsidR="0075570A" w:rsidRPr="00702446" w:rsidRDefault="0075570A" w:rsidP="0075570A">
      <w:pPr>
        <w:widowControl/>
        <w:tabs>
          <w:tab w:val="left" w:pos="-720"/>
          <w:tab w:val="left" w:pos="0"/>
          <w:tab w:val="left" w:pos="567"/>
          <w:tab w:val="left" w:pos="709"/>
          <w:tab w:val="left" w:pos="851"/>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b)</w:t>
      </w:r>
      <w:r w:rsidR="00446D80">
        <w:rPr>
          <w:rFonts w:ascii="Times New Roman" w:hAnsi="Times New Roman"/>
          <w:spacing w:val="-2"/>
          <w:sz w:val="17"/>
          <w:szCs w:val="17"/>
        </w:rPr>
        <w:tab/>
      </w:r>
      <w:r w:rsidR="00AF6F58">
        <w:rPr>
          <w:rFonts w:ascii="Times New Roman" w:hAnsi="Times New Roman"/>
          <w:spacing w:val="-2"/>
          <w:sz w:val="17"/>
          <w:szCs w:val="17"/>
        </w:rPr>
        <w:tab/>
      </w:r>
      <w:r w:rsidRPr="00702446">
        <w:rPr>
          <w:rFonts w:ascii="Times New Roman" w:hAnsi="Times New Roman"/>
          <w:b/>
          <w:spacing w:val="-2"/>
          <w:sz w:val="17"/>
          <w:szCs w:val="17"/>
        </w:rPr>
        <w:t>Berufung</w:t>
      </w:r>
      <w:r w:rsidRPr="00702446">
        <w:rPr>
          <w:rFonts w:ascii="Times New Roman" w:hAnsi="Times New Roman"/>
          <w:spacing w:val="-2"/>
          <w:sz w:val="17"/>
          <w:szCs w:val="17"/>
        </w:rPr>
        <w:t xml:space="preserve">, §§ 312-332 StPO: Überprüfung erstinstanzlicher </w:t>
      </w:r>
      <w:r w:rsidRPr="00702446">
        <w:rPr>
          <w:rFonts w:ascii="Times New Roman" w:hAnsi="Times New Roman"/>
          <w:b/>
          <w:spacing w:val="-2"/>
          <w:sz w:val="17"/>
          <w:szCs w:val="17"/>
        </w:rPr>
        <w:t>Urteile</w:t>
      </w:r>
      <w:r w:rsidRPr="00702446">
        <w:rPr>
          <w:rFonts w:ascii="Times New Roman" w:hAnsi="Times New Roman"/>
          <w:spacing w:val="-2"/>
          <w:sz w:val="17"/>
          <w:szCs w:val="17"/>
        </w:rPr>
        <w:t xml:space="preserve"> des </w:t>
      </w:r>
      <w:r w:rsidR="007F6F7B">
        <w:rPr>
          <w:rFonts w:ascii="Times New Roman" w:hAnsi="Times New Roman"/>
          <w:b/>
          <w:spacing w:val="-2"/>
          <w:sz w:val="17"/>
          <w:szCs w:val="17"/>
        </w:rPr>
        <w:t>AG</w:t>
      </w:r>
      <w:r w:rsidR="007F6F7B" w:rsidRPr="00702446">
        <w:rPr>
          <w:rFonts w:ascii="Times New Roman" w:hAnsi="Times New Roman"/>
          <w:b/>
          <w:spacing w:val="-2"/>
          <w:sz w:val="17"/>
          <w:szCs w:val="17"/>
        </w:rPr>
        <w:t xml:space="preserve"> </w:t>
      </w:r>
      <w:r w:rsidRPr="00702446">
        <w:rPr>
          <w:rFonts w:ascii="Times New Roman" w:hAnsi="Times New Roman"/>
          <w:spacing w:val="-2"/>
          <w:sz w:val="17"/>
          <w:szCs w:val="17"/>
        </w:rPr>
        <w:t>(Strafrichter und Schöffengericht) in tatsächlicher und rechtlicher Hinsicht (zweite Tatsacheninstanz; es können neue Tatsachen und Beweismittel eingeführt werden).</w:t>
      </w:r>
    </w:p>
    <w:p w14:paraId="0CA68E6D" w14:textId="77777777" w:rsidR="0075570A" w:rsidRPr="00702446" w:rsidRDefault="0075570A" w:rsidP="0075570A">
      <w:pPr>
        <w:widowControl/>
        <w:tabs>
          <w:tab w:val="left" w:pos="-720"/>
          <w:tab w:val="left" w:pos="0"/>
          <w:tab w:val="left" w:pos="567"/>
          <w:tab w:val="left" w:pos="709"/>
          <w:tab w:val="left" w:pos="851"/>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c) </w:t>
      </w:r>
      <w:r w:rsidRPr="00702446">
        <w:rPr>
          <w:rFonts w:ascii="Times New Roman" w:hAnsi="Times New Roman"/>
          <w:spacing w:val="-2"/>
          <w:sz w:val="17"/>
          <w:szCs w:val="17"/>
        </w:rPr>
        <w:tab/>
      </w:r>
      <w:r w:rsidRPr="00702446">
        <w:rPr>
          <w:rFonts w:ascii="Times New Roman" w:hAnsi="Times New Roman"/>
          <w:b/>
          <w:spacing w:val="-2"/>
          <w:sz w:val="17"/>
          <w:szCs w:val="17"/>
        </w:rPr>
        <w:t>Revision</w:t>
      </w:r>
      <w:r w:rsidRPr="00702446">
        <w:rPr>
          <w:rFonts w:ascii="Times New Roman" w:hAnsi="Times New Roman"/>
          <w:spacing w:val="-2"/>
          <w:sz w:val="17"/>
          <w:szCs w:val="17"/>
        </w:rPr>
        <w:t xml:space="preserve">, §§ 333-358 StPO: wendet sich </w:t>
      </w:r>
      <w:r w:rsidR="00F74C04" w:rsidRPr="00702446">
        <w:rPr>
          <w:rFonts w:ascii="Times New Roman" w:hAnsi="Times New Roman"/>
          <w:spacing w:val="-2"/>
          <w:sz w:val="17"/>
          <w:szCs w:val="17"/>
        </w:rPr>
        <w:t>gegen sämtliche erst- und zweitinstanzliche Urteile</w:t>
      </w:r>
      <w:r w:rsidRPr="00702446">
        <w:rPr>
          <w:rFonts w:ascii="Times New Roman" w:hAnsi="Times New Roman"/>
          <w:spacing w:val="-2"/>
          <w:sz w:val="17"/>
          <w:szCs w:val="17"/>
        </w:rPr>
        <w:t xml:space="preserve"> (sofern es sich nicht um Revisionsurteile handelt); kann nur darauf gestützt werden, dass das Urteil in rechtlicher Hinsicht fehlerhaft ist.</w:t>
      </w:r>
    </w:p>
    <w:p w14:paraId="6CB2945B" w14:textId="0460B672" w:rsidR="0075570A" w:rsidRPr="00702446" w:rsidRDefault="0075570A" w:rsidP="0075570A">
      <w:pPr>
        <w:widowControl/>
        <w:tabs>
          <w:tab w:val="left" w:pos="-720"/>
          <w:tab w:val="left" w:pos="0"/>
          <w:tab w:val="left" w:pos="567"/>
          <w:tab w:val="left" w:pos="709"/>
          <w:tab w:val="left" w:pos="851"/>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d) </w:t>
      </w:r>
      <w:r w:rsidRPr="00702446">
        <w:rPr>
          <w:rFonts w:ascii="Times New Roman" w:hAnsi="Times New Roman"/>
          <w:spacing w:val="-2"/>
          <w:sz w:val="17"/>
          <w:szCs w:val="17"/>
        </w:rPr>
        <w:tab/>
      </w:r>
      <w:r w:rsidRPr="00702446">
        <w:rPr>
          <w:rFonts w:ascii="Times New Roman" w:hAnsi="Times New Roman"/>
          <w:b/>
          <w:spacing w:val="-2"/>
          <w:sz w:val="17"/>
          <w:szCs w:val="17"/>
        </w:rPr>
        <w:t>Einspruch gegen den Strafbefehl</w:t>
      </w:r>
      <w:r w:rsidRPr="00702446">
        <w:rPr>
          <w:rFonts w:ascii="Times New Roman" w:hAnsi="Times New Roman"/>
          <w:spacing w:val="-2"/>
          <w:sz w:val="17"/>
          <w:szCs w:val="17"/>
        </w:rPr>
        <w:t>, § 410 StPO</w:t>
      </w:r>
    </w:p>
    <w:p w14:paraId="19F26012" w14:textId="77777777" w:rsidR="0075570A" w:rsidRPr="00702446" w:rsidRDefault="0075570A" w:rsidP="007F6F7B">
      <w:pPr>
        <w:widowControl/>
        <w:tabs>
          <w:tab w:val="left" w:pos="-720"/>
          <w:tab w:val="left" w:pos="0"/>
          <w:tab w:val="left" w:pos="426"/>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2. </w:t>
      </w:r>
      <w:r w:rsidRPr="00702446">
        <w:rPr>
          <w:rFonts w:ascii="Times New Roman" w:hAnsi="Times New Roman"/>
          <w:spacing w:val="-2"/>
          <w:sz w:val="17"/>
          <w:szCs w:val="17"/>
          <w:u w:val="single"/>
        </w:rPr>
        <w:tab/>
        <w:t>Außerordentliche Rechtsbehelfe:</w:t>
      </w:r>
      <w:r w:rsidRPr="00702446">
        <w:rPr>
          <w:rFonts w:ascii="Times New Roman" w:hAnsi="Times New Roman"/>
          <w:b/>
          <w:spacing w:val="-2"/>
          <w:sz w:val="17"/>
          <w:szCs w:val="17"/>
        </w:rPr>
        <w:t xml:space="preserve"> </w:t>
      </w:r>
      <w:r w:rsidRPr="00702446">
        <w:rPr>
          <w:rFonts w:ascii="Times New Roman" w:hAnsi="Times New Roman"/>
          <w:spacing w:val="-2"/>
          <w:sz w:val="17"/>
          <w:szCs w:val="17"/>
        </w:rPr>
        <w:t>Sie zeichnen sich dadurch aus, dass sie die Rechtskraft durchbrechen.</w:t>
      </w:r>
    </w:p>
    <w:p w14:paraId="025C5382" w14:textId="77777777" w:rsidR="0075570A" w:rsidRPr="00702446" w:rsidRDefault="0075570A" w:rsidP="007F6F7B">
      <w:pPr>
        <w:widowControl/>
        <w:tabs>
          <w:tab w:val="left" w:pos="-720"/>
          <w:tab w:val="left" w:pos="0"/>
          <w:tab w:val="left" w:pos="142"/>
          <w:tab w:val="left" w:pos="426"/>
          <w:tab w:val="left" w:pos="576"/>
          <w:tab w:val="left" w:pos="864"/>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a) </w:t>
      </w:r>
      <w:r w:rsidRPr="00702446">
        <w:rPr>
          <w:rFonts w:ascii="Times New Roman" w:hAnsi="Times New Roman"/>
          <w:spacing w:val="-2"/>
          <w:sz w:val="17"/>
          <w:szCs w:val="17"/>
        </w:rPr>
        <w:tab/>
      </w:r>
      <w:r w:rsidRPr="00702446">
        <w:rPr>
          <w:rFonts w:ascii="Times New Roman" w:hAnsi="Times New Roman"/>
          <w:b/>
          <w:spacing w:val="-2"/>
          <w:sz w:val="17"/>
          <w:szCs w:val="17"/>
        </w:rPr>
        <w:t>Wiedereinsetzung</w:t>
      </w:r>
      <w:r w:rsidRPr="00702446">
        <w:rPr>
          <w:rFonts w:ascii="Times New Roman" w:hAnsi="Times New Roman"/>
          <w:spacing w:val="-2"/>
          <w:sz w:val="17"/>
          <w:szCs w:val="17"/>
        </w:rPr>
        <w:t xml:space="preserve"> in den vorigen Stand, §§ 44-47 StPO</w:t>
      </w:r>
    </w:p>
    <w:p w14:paraId="2AFC41D9" w14:textId="77777777" w:rsidR="0075570A" w:rsidRPr="00702446" w:rsidRDefault="0075570A" w:rsidP="007F6F7B">
      <w:pPr>
        <w:widowControl/>
        <w:tabs>
          <w:tab w:val="left" w:pos="-720"/>
          <w:tab w:val="left" w:pos="0"/>
          <w:tab w:val="left" w:pos="142"/>
          <w:tab w:val="left" w:pos="426"/>
          <w:tab w:val="left" w:pos="576"/>
          <w:tab w:val="left" w:pos="864"/>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b) </w:t>
      </w:r>
      <w:r w:rsidRPr="00702446">
        <w:rPr>
          <w:rFonts w:ascii="Times New Roman" w:hAnsi="Times New Roman"/>
          <w:spacing w:val="-2"/>
          <w:sz w:val="17"/>
          <w:szCs w:val="17"/>
        </w:rPr>
        <w:tab/>
      </w:r>
      <w:r w:rsidRPr="00702446">
        <w:rPr>
          <w:rFonts w:ascii="Times New Roman" w:hAnsi="Times New Roman"/>
          <w:b/>
          <w:spacing w:val="-2"/>
          <w:sz w:val="17"/>
          <w:szCs w:val="17"/>
        </w:rPr>
        <w:t>Wiederaufnahme</w:t>
      </w:r>
      <w:r w:rsidRPr="00702446">
        <w:rPr>
          <w:rFonts w:ascii="Times New Roman" w:hAnsi="Times New Roman"/>
          <w:spacing w:val="-2"/>
          <w:sz w:val="17"/>
          <w:szCs w:val="17"/>
        </w:rPr>
        <w:t xml:space="preserve"> des Verfahrens, §§ 359-373a StPO</w:t>
      </w:r>
    </w:p>
    <w:p w14:paraId="2A76EE56" w14:textId="77777777" w:rsidR="0075570A" w:rsidRPr="00702446" w:rsidRDefault="0075570A" w:rsidP="007F6F7B">
      <w:pPr>
        <w:widowControl/>
        <w:tabs>
          <w:tab w:val="left" w:pos="-720"/>
          <w:tab w:val="left" w:pos="0"/>
          <w:tab w:val="left" w:pos="142"/>
          <w:tab w:val="left" w:pos="426"/>
          <w:tab w:val="left" w:pos="576"/>
          <w:tab w:val="left" w:pos="864"/>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c) </w:t>
      </w:r>
      <w:r w:rsidRPr="00702446">
        <w:rPr>
          <w:rFonts w:ascii="Times New Roman" w:hAnsi="Times New Roman"/>
          <w:spacing w:val="-2"/>
          <w:sz w:val="17"/>
          <w:szCs w:val="17"/>
        </w:rPr>
        <w:tab/>
      </w:r>
      <w:r w:rsidRPr="00702446">
        <w:rPr>
          <w:rFonts w:ascii="Times New Roman" w:hAnsi="Times New Roman"/>
          <w:b/>
          <w:spacing w:val="-2"/>
          <w:sz w:val="17"/>
          <w:szCs w:val="17"/>
        </w:rPr>
        <w:t>Verfassungsbeschwerde</w:t>
      </w:r>
      <w:r w:rsidRPr="00702446">
        <w:rPr>
          <w:rFonts w:ascii="Times New Roman" w:hAnsi="Times New Roman"/>
          <w:spacing w:val="-2"/>
          <w:sz w:val="17"/>
          <w:szCs w:val="17"/>
        </w:rPr>
        <w:t xml:space="preserve"> gem. Art. 93 I Nr. 4a GG, §§ 90 ff. BVerfGG</w:t>
      </w:r>
    </w:p>
    <w:p w14:paraId="2FA2352E" w14:textId="77777777" w:rsidR="0075570A" w:rsidRDefault="0075570A" w:rsidP="007F6F7B">
      <w:pPr>
        <w:widowControl/>
        <w:tabs>
          <w:tab w:val="left" w:pos="-720"/>
          <w:tab w:val="left" w:pos="0"/>
          <w:tab w:val="left" w:pos="142"/>
          <w:tab w:val="left" w:pos="426"/>
          <w:tab w:val="left" w:pos="576"/>
          <w:tab w:val="left" w:pos="864"/>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02446">
        <w:rPr>
          <w:rFonts w:ascii="Times New Roman" w:hAnsi="Times New Roman"/>
          <w:spacing w:val="-2"/>
          <w:sz w:val="17"/>
          <w:szCs w:val="17"/>
        </w:rPr>
        <w:t xml:space="preserve">d) </w:t>
      </w:r>
      <w:r w:rsidRPr="00702446">
        <w:rPr>
          <w:rFonts w:ascii="Times New Roman" w:hAnsi="Times New Roman"/>
          <w:spacing w:val="-2"/>
          <w:sz w:val="17"/>
          <w:szCs w:val="17"/>
        </w:rPr>
        <w:tab/>
      </w:r>
      <w:r w:rsidRPr="00702446">
        <w:rPr>
          <w:rFonts w:ascii="Times New Roman" w:hAnsi="Times New Roman"/>
          <w:b/>
          <w:spacing w:val="-2"/>
          <w:sz w:val="17"/>
          <w:szCs w:val="17"/>
        </w:rPr>
        <w:t>Individualbeschwerde</w:t>
      </w:r>
      <w:r w:rsidRPr="00702446">
        <w:rPr>
          <w:rFonts w:ascii="Times New Roman" w:hAnsi="Times New Roman"/>
          <w:spacing w:val="-2"/>
          <w:sz w:val="17"/>
          <w:szCs w:val="17"/>
        </w:rPr>
        <w:t xml:space="preserve"> gem. Art. 34 f. EMRK</w:t>
      </w:r>
    </w:p>
    <w:p w14:paraId="5ADABB3A" w14:textId="77777777" w:rsidR="007F6F7B" w:rsidRPr="00702446" w:rsidRDefault="007F6F7B" w:rsidP="007F6F7B">
      <w:pPr>
        <w:widowControl/>
        <w:tabs>
          <w:tab w:val="left" w:pos="-720"/>
          <w:tab w:val="left" w:pos="0"/>
          <w:tab w:val="left" w:pos="142"/>
          <w:tab w:val="left" w:pos="426"/>
          <w:tab w:val="left" w:pos="576"/>
          <w:tab w:val="left" w:pos="864"/>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p>
    <w:p w14:paraId="7CDEFAAD" w14:textId="77777777" w:rsidR="0075570A" w:rsidRPr="00702446" w:rsidRDefault="0075570A" w:rsidP="003D2F82">
      <w:pPr>
        <w:widowControl/>
        <w:tabs>
          <w:tab w:val="left" w:pos="-720"/>
          <w:tab w:val="left" w:pos="0"/>
          <w:tab w:val="left" w:pos="288"/>
          <w:tab w:val="left" w:pos="576"/>
          <w:tab w:val="left" w:pos="864"/>
          <w:tab w:val="left" w:pos="1116"/>
          <w:tab w:val="left" w:pos="1404"/>
          <w:tab w:val="left" w:pos="1692"/>
          <w:tab w:val="left" w:pos="1980"/>
          <w:tab w:val="left" w:pos="2268"/>
          <w:tab w:val="left" w:pos="2880"/>
        </w:tabs>
        <w:ind w:left="289" w:hanging="289"/>
        <w:jc w:val="both"/>
        <w:outlineLvl w:val="0"/>
        <w:rPr>
          <w:rFonts w:ascii="Times New Roman" w:hAnsi="Times New Roman"/>
          <w:b/>
          <w:spacing w:val="-2"/>
          <w:sz w:val="17"/>
          <w:szCs w:val="17"/>
        </w:rPr>
      </w:pPr>
      <w:r w:rsidRPr="00702446">
        <w:rPr>
          <w:rFonts w:ascii="Times New Roman" w:hAnsi="Times New Roman"/>
          <w:b/>
          <w:spacing w:val="-2"/>
          <w:sz w:val="17"/>
          <w:szCs w:val="17"/>
        </w:rPr>
        <w:t xml:space="preserve">II. </w:t>
      </w:r>
      <w:r w:rsidRPr="00702446">
        <w:rPr>
          <w:rFonts w:ascii="Times New Roman" w:hAnsi="Times New Roman"/>
          <w:b/>
          <w:spacing w:val="-2"/>
          <w:sz w:val="17"/>
          <w:szCs w:val="17"/>
        </w:rPr>
        <w:tab/>
        <w:t>Gemeinsamkeiten der Rechtsmittel</w:t>
      </w:r>
    </w:p>
    <w:p w14:paraId="1143BE4E" w14:textId="77777777" w:rsidR="0075570A" w:rsidRPr="00702446" w:rsidRDefault="0075570A"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1. </w:t>
      </w:r>
      <w:r w:rsidRPr="00702446">
        <w:rPr>
          <w:rFonts w:ascii="Times New Roman" w:hAnsi="Times New Roman"/>
          <w:spacing w:val="-2"/>
          <w:sz w:val="17"/>
          <w:szCs w:val="17"/>
          <w:u w:val="single"/>
        </w:rPr>
        <w:tab/>
        <w:t>Devolutiveffekt:</w:t>
      </w:r>
      <w:r w:rsidRPr="00702446">
        <w:rPr>
          <w:rFonts w:ascii="Times New Roman" w:hAnsi="Times New Roman"/>
          <w:spacing w:val="-2"/>
          <w:sz w:val="17"/>
          <w:szCs w:val="17"/>
        </w:rPr>
        <w:t xml:space="preserve"> Die Rechtsmittel (Berufung, Revision, Beschwerde) besitzen einen Devolutiveffekt, d.h. sie bringen ein Verfahren in eine höhere Instanz.</w:t>
      </w:r>
    </w:p>
    <w:p w14:paraId="6EE868C3" w14:textId="77777777" w:rsidR="0075570A" w:rsidRPr="00702446" w:rsidRDefault="0075570A"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2. </w:t>
      </w:r>
      <w:r w:rsidRPr="00702446">
        <w:rPr>
          <w:rFonts w:ascii="Times New Roman" w:hAnsi="Times New Roman"/>
          <w:spacing w:val="-2"/>
          <w:sz w:val="17"/>
          <w:szCs w:val="17"/>
          <w:u w:val="single"/>
        </w:rPr>
        <w:tab/>
        <w:t>Suspensiveffekt:</w:t>
      </w:r>
      <w:r w:rsidRPr="00702446">
        <w:rPr>
          <w:rFonts w:ascii="Times New Roman" w:hAnsi="Times New Roman"/>
          <w:spacing w:val="-2"/>
          <w:sz w:val="17"/>
          <w:szCs w:val="17"/>
        </w:rPr>
        <w:t xml:space="preserve"> Berufung und Revision (nicht die Beschwerde) besitzen auch einen Suspensiveffekt, d.h. durch ihre rechtzeitige Einlegung wird der Eintritt der Rechtskraft des Urteils gehemmt und das Urteil darf nicht vollstreckt werden.</w:t>
      </w:r>
    </w:p>
    <w:p w14:paraId="6507E40B" w14:textId="083A5204" w:rsidR="0075570A" w:rsidRPr="00702446" w:rsidRDefault="0075570A"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3. </w:t>
      </w:r>
      <w:r w:rsidRPr="00702446">
        <w:rPr>
          <w:rFonts w:ascii="Times New Roman" w:hAnsi="Times New Roman"/>
          <w:spacing w:val="-2"/>
          <w:sz w:val="17"/>
          <w:szCs w:val="17"/>
          <w:u w:val="single"/>
        </w:rPr>
        <w:tab/>
        <w:t xml:space="preserve">Verbot der </w:t>
      </w:r>
      <w:proofErr w:type="spellStart"/>
      <w:r w:rsidRPr="00702446">
        <w:rPr>
          <w:rFonts w:ascii="Times New Roman" w:hAnsi="Times New Roman"/>
          <w:spacing w:val="-2"/>
          <w:sz w:val="17"/>
          <w:szCs w:val="17"/>
          <w:u w:val="single"/>
        </w:rPr>
        <w:t>reformatio</w:t>
      </w:r>
      <w:proofErr w:type="spellEnd"/>
      <w:r w:rsidRPr="00702446">
        <w:rPr>
          <w:rFonts w:ascii="Times New Roman" w:hAnsi="Times New Roman"/>
          <w:spacing w:val="-2"/>
          <w:sz w:val="17"/>
          <w:szCs w:val="17"/>
          <w:u w:val="single"/>
        </w:rPr>
        <w:t xml:space="preserve"> in peius</w:t>
      </w:r>
      <w:r w:rsidRPr="00702446">
        <w:rPr>
          <w:rFonts w:ascii="Times New Roman" w:hAnsi="Times New Roman"/>
          <w:spacing w:val="-2"/>
          <w:sz w:val="17"/>
          <w:szCs w:val="17"/>
        </w:rPr>
        <w:t xml:space="preserve"> (§§ 331 I; 358 II 1 StPO): Legt lediglich der Angeklagte, sein gesetzlicher Vertreter oder</w:t>
      </w:r>
      <w:r w:rsidR="0097251A">
        <w:rPr>
          <w:rFonts w:ascii="Times New Roman" w:hAnsi="Times New Roman"/>
          <w:spacing w:val="-2"/>
          <w:sz w:val="17"/>
          <w:szCs w:val="17"/>
        </w:rPr>
        <w:t xml:space="preserve"> auch</w:t>
      </w:r>
      <w:r w:rsidRPr="00702446">
        <w:rPr>
          <w:rFonts w:ascii="Times New Roman" w:hAnsi="Times New Roman"/>
          <w:spacing w:val="-2"/>
          <w:sz w:val="17"/>
          <w:szCs w:val="17"/>
        </w:rPr>
        <w:t xml:space="preserve"> die </w:t>
      </w:r>
      <w:proofErr w:type="spellStart"/>
      <w:r w:rsidR="007F6F7B">
        <w:rPr>
          <w:rFonts w:ascii="Times New Roman" w:hAnsi="Times New Roman"/>
          <w:spacing w:val="-2"/>
          <w:sz w:val="17"/>
          <w:szCs w:val="17"/>
        </w:rPr>
        <w:t>StA</w:t>
      </w:r>
      <w:proofErr w:type="spellEnd"/>
      <w:r w:rsidR="007F6F7B" w:rsidRPr="00702446">
        <w:rPr>
          <w:rFonts w:ascii="Times New Roman" w:hAnsi="Times New Roman"/>
          <w:spacing w:val="-2"/>
          <w:sz w:val="17"/>
          <w:szCs w:val="17"/>
        </w:rPr>
        <w:t xml:space="preserve"> </w:t>
      </w:r>
      <w:r w:rsidRPr="00702446">
        <w:rPr>
          <w:rFonts w:ascii="Times New Roman" w:hAnsi="Times New Roman"/>
          <w:spacing w:val="-2"/>
          <w:sz w:val="17"/>
          <w:szCs w:val="17"/>
        </w:rPr>
        <w:t xml:space="preserve">zu </w:t>
      </w:r>
      <w:r w:rsidR="0097251A">
        <w:rPr>
          <w:rFonts w:ascii="Times New Roman" w:hAnsi="Times New Roman"/>
          <w:spacing w:val="-2"/>
          <w:sz w:val="17"/>
          <w:szCs w:val="17"/>
        </w:rPr>
        <w:t>Gunsten des Angeklagten</w:t>
      </w:r>
      <w:r w:rsidRPr="00702446">
        <w:rPr>
          <w:rFonts w:ascii="Times New Roman" w:hAnsi="Times New Roman"/>
          <w:spacing w:val="-2"/>
          <w:sz w:val="17"/>
          <w:szCs w:val="17"/>
        </w:rPr>
        <w:t xml:space="preserve"> (§ 296 II StPO) gegen ein </w:t>
      </w:r>
      <w:r w:rsidRPr="00702446">
        <w:rPr>
          <w:rFonts w:ascii="Times New Roman" w:hAnsi="Times New Roman"/>
          <w:b/>
          <w:spacing w:val="-2"/>
          <w:sz w:val="17"/>
          <w:szCs w:val="17"/>
        </w:rPr>
        <w:t>Urteil</w:t>
      </w:r>
      <w:r w:rsidRPr="00702446">
        <w:rPr>
          <w:rFonts w:ascii="Times New Roman" w:hAnsi="Times New Roman"/>
          <w:spacing w:val="-2"/>
          <w:sz w:val="17"/>
          <w:szCs w:val="17"/>
        </w:rPr>
        <w:t xml:space="preserve"> Berufung oder Revision ein,</w:t>
      </w:r>
      <w:r w:rsidRPr="00702446">
        <w:rPr>
          <w:rFonts w:ascii="Times New Roman" w:hAnsi="Times New Roman"/>
          <w:b/>
          <w:spacing w:val="-2"/>
          <w:sz w:val="17"/>
          <w:szCs w:val="17"/>
        </w:rPr>
        <w:t xml:space="preserve"> </w:t>
      </w:r>
      <w:r w:rsidRPr="00702446">
        <w:rPr>
          <w:rFonts w:ascii="Times New Roman" w:hAnsi="Times New Roman"/>
          <w:spacing w:val="-2"/>
          <w:sz w:val="17"/>
          <w:szCs w:val="17"/>
        </w:rPr>
        <w:t xml:space="preserve">darf dieses in </w:t>
      </w:r>
      <w:r w:rsidRPr="00702446">
        <w:rPr>
          <w:rFonts w:ascii="Times New Roman" w:hAnsi="Times New Roman"/>
          <w:b/>
          <w:spacing w:val="-2"/>
          <w:sz w:val="17"/>
          <w:szCs w:val="17"/>
        </w:rPr>
        <w:t>Art und Höhe</w:t>
      </w:r>
      <w:r w:rsidRPr="00702446">
        <w:rPr>
          <w:rFonts w:ascii="Times New Roman" w:hAnsi="Times New Roman"/>
          <w:spacing w:val="-2"/>
          <w:sz w:val="17"/>
          <w:szCs w:val="17"/>
        </w:rPr>
        <w:t xml:space="preserve"> nicht </w:t>
      </w:r>
      <w:r w:rsidRPr="00702446">
        <w:rPr>
          <w:rFonts w:ascii="Times New Roman" w:hAnsi="Times New Roman"/>
          <w:b/>
          <w:spacing w:val="-2"/>
          <w:sz w:val="17"/>
          <w:szCs w:val="17"/>
        </w:rPr>
        <w:t>zum Nachteil</w:t>
      </w:r>
      <w:r w:rsidRPr="00702446">
        <w:rPr>
          <w:rFonts w:ascii="Times New Roman" w:hAnsi="Times New Roman"/>
          <w:spacing w:val="-2"/>
          <w:sz w:val="17"/>
          <w:szCs w:val="17"/>
        </w:rPr>
        <w:t xml:space="preserve"> des Angeklagten abgeändert werden. Dieser Grundsatz gilt nicht</w:t>
      </w:r>
      <w:r w:rsidR="001301C4">
        <w:rPr>
          <w:rFonts w:ascii="Times New Roman" w:hAnsi="Times New Roman"/>
          <w:spacing w:val="-2"/>
          <w:sz w:val="17"/>
          <w:szCs w:val="17"/>
        </w:rPr>
        <w:t xml:space="preserve"> in den Fällen</w:t>
      </w:r>
      <w:r w:rsidRPr="00702446">
        <w:rPr>
          <w:rFonts w:ascii="Times New Roman" w:hAnsi="Times New Roman"/>
          <w:spacing w:val="-2"/>
          <w:sz w:val="17"/>
          <w:szCs w:val="17"/>
        </w:rPr>
        <w:t xml:space="preserve">, </w:t>
      </w:r>
      <w:r w:rsidR="001301C4">
        <w:rPr>
          <w:rFonts w:ascii="Times New Roman" w:hAnsi="Times New Roman"/>
          <w:spacing w:val="-2"/>
          <w:sz w:val="17"/>
          <w:szCs w:val="17"/>
        </w:rPr>
        <w:t>in denen</w:t>
      </w:r>
      <w:r w:rsidRPr="00702446">
        <w:rPr>
          <w:rFonts w:ascii="Times New Roman" w:hAnsi="Times New Roman"/>
          <w:spacing w:val="-2"/>
          <w:sz w:val="17"/>
          <w:szCs w:val="17"/>
        </w:rPr>
        <w:t xml:space="preserve"> die </w:t>
      </w:r>
      <w:proofErr w:type="spellStart"/>
      <w:r w:rsidR="007F6F7B">
        <w:rPr>
          <w:rFonts w:ascii="Times New Roman" w:hAnsi="Times New Roman"/>
          <w:spacing w:val="-2"/>
          <w:sz w:val="17"/>
          <w:szCs w:val="17"/>
        </w:rPr>
        <w:t>StA</w:t>
      </w:r>
      <w:proofErr w:type="spellEnd"/>
      <w:r w:rsidR="007F6F7B">
        <w:rPr>
          <w:rFonts w:ascii="Times New Roman" w:hAnsi="Times New Roman"/>
          <w:spacing w:val="-2"/>
          <w:sz w:val="17"/>
          <w:szCs w:val="17"/>
        </w:rPr>
        <w:t xml:space="preserve"> </w:t>
      </w:r>
      <w:r w:rsidR="001301C4">
        <w:rPr>
          <w:rFonts w:ascii="Times New Roman" w:hAnsi="Times New Roman"/>
          <w:spacing w:val="-2"/>
          <w:sz w:val="17"/>
          <w:szCs w:val="17"/>
        </w:rPr>
        <w:t>zuungunsten des Angeklagten</w:t>
      </w:r>
      <w:r w:rsidRPr="00702446">
        <w:rPr>
          <w:rFonts w:ascii="Times New Roman" w:hAnsi="Times New Roman"/>
          <w:spacing w:val="-2"/>
          <w:sz w:val="17"/>
          <w:szCs w:val="17"/>
        </w:rPr>
        <w:t xml:space="preserve"> Rechtsmittel einlegt (§ 301 StPO). </w:t>
      </w:r>
      <w:r w:rsidRPr="00702446">
        <w:rPr>
          <w:rFonts w:ascii="Times New Roman" w:hAnsi="Times New Roman"/>
          <w:b/>
          <w:spacing w:val="-2"/>
          <w:sz w:val="17"/>
          <w:szCs w:val="17"/>
        </w:rPr>
        <w:t>Ausnahmen:</w:t>
      </w:r>
      <w:r w:rsidRPr="00702446">
        <w:rPr>
          <w:rFonts w:ascii="Times New Roman" w:hAnsi="Times New Roman"/>
          <w:spacing w:val="-2"/>
          <w:sz w:val="17"/>
          <w:szCs w:val="17"/>
        </w:rPr>
        <w:t xml:space="preserve"> a) Eine Änderung des Schuldspruches (z.B. Mord statt Totschlag</w:t>
      </w:r>
      <w:r w:rsidR="005D131C">
        <w:rPr>
          <w:rFonts w:ascii="Times New Roman" w:hAnsi="Times New Roman"/>
          <w:spacing w:val="-2"/>
          <w:sz w:val="17"/>
          <w:szCs w:val="17"/>
        </w:rPr>
        <w:t>, sog. Schuldspruchberichtigung</w:t>
      </w:r>
      <w:r w:rsidRPr="00702446">
        <w:rPr>
          <w:rFonts w:ascii="Times New Roman" w:hAnsi="Times New Roman"/>
          <w:spacing w:val="-2"/>
          <w:sz w:val="17"/>
          <w:szCs w:val="17"/>
        </w:rPr>
        <w:t xml:space="preserve">) </w:t>
      </w:r>
      <w:r w:rsidR="001301C4">
        <w:rPr>
          <w:rFonts w:ascii="Times New Roman" w:hAnsi="Times New Roman"/>
          <w:spacing w:val="-2"/>
          <w:sz w:val="17"/>
          <w:szCs w:val="17"/>
        </w:rPr>
        <w:t>ist</w:t>
      </w:r>
      <w:r w:rsidR="001301C4" w:rsidRPr="00702446">
        <w:rPr>
          <w:rFonts w:ascii="Times New Roman" w:hAnsi="Times New Roman"/>
          <w:spacing w:val="-2"/>
          <w:sz w:val="17"/>
          <w:szCs w:val="17"/>
        </w:rPr>
        <w:t xml:space="preserve"> </w:t>
      </w:r>
      <w:r w:rsidRPr="00702446">
        <w:rPr>
          <w:rFonts w:ascii="Times New Roman" w:hAnsi="Times New Roman"/>
          <w:spacing w:val="-2"/>
          <w:sz w:val="17"/>
          <w:szCs w:val="17"/>
        </w:rPr>
        <w:t>zulässig</w:t>
      </w:r>
      <w:r w:rsidR="001301C4">
        <w:rPr>
          <w:rFonts w:ascii="Times New Roman" w:hAnsi="Times New Roman"/>
          <w:spacing w:val="-2"/>
          <w:sz w:val="17"/>
          <w:szCs w:val="17"/>
        </w:rPr>
        <w:t>.</w:t>
      </w:r>
      <w:r w:rsidR="001301C4" w:rsidRPr="001301C4">
        <w:rPr>
          <w:rFonts w:ascii="Times New Roman" w:hAnsi="Times New Roman"/>
          <w:spacing w:val="-2"/>
          <w:sz w:val="17"/>
          <w:szCs w:val="17"/>
        </w:rPr>
        <w:t xml:space="preserve"> </w:t>
      </w:r>
      <w:r w:rsidR="001301C4" w:rsidRPr="00702446">
        <w:rPr>
          <w:rFonts w:ascii="Times New Roman" w:hAnsi="Times New Roman"/>
          <w:spacing w:val="-2"/>
          <w:sz w:val="17"/>
          <w:szCs w:val="17"/>
        </w:rPr>
        <w:t xml:space="preserve">Die </w:t>
      </w:r>
      <w:proofErr w:type="spellStart"/>
      <w:r w:rsidR="001301C4" w:rsidRPr="00702446">
        <w:rPr>
          <w:rFonts w:ascii="Times New Roman" w:hAnsi="Times New Roman"/>
          <w:spacing w:val="-2"/>
          <w:sz w:val="17"/>
          <w:szCs w:val="17"/>
        </w:rPr>
        <w:t>reformatio</w:t>
      </w:r>
      <w:proofErr w:type="spellEnd"/>
      <w:r w:rsidR="001301C4" w:rsidRPr="00702446">
        <w:rPr>
          <w:rFonts w:ascii="Times New Roman" w:hAnsi="Times New Roman"/>
          <w:spacing w:val="-2"/>
          <w:sz w:val="17"/>
          <w:szCs w:val="17"/>
        </w:rPr>
        <w:t xml:space="preserve"> in peius betrifft nur Art und Höhe der Rechtsfolgen der Tat</w:t>
      </w:r>
      <w:r w:rsidRPr="00702446">
        <w:rPr>
          <w:rFonts w:ascii="Times New Roman" w:hAnsi="Times New Roman"/>
          <w:spacing w:val="-2"/>
          <w:sz w:val="17"/>
          <w:szCs w:val="17"/>
        </w:rPr>
        <w:t>; b) Unterbringung in einem psychiatrischen Krankenhaus oder einer Entziehungsanstalt ist immer möglich (§§ 331 II, 358 II StPO).</w:t>
      </w:r>
    </w:p>
    <w:p w14:paraId="7AC466B7" w14:textId="02EFD40E" w:rsidR="0075570A" w:rsidRPr="00702446" w:rsidRDefault="0075570A" w:rsidP="0075570A">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4. </w:t>
      </w:r>
      <w:r w:rsidRPr="00702446">
        <w:rPr>
          <w:rFonts w:ascii="Times New Roman" w:hAnsi="Times New Roman"/>
          <w:spacing w:val="-2"/>
          <w:sz w:val="17"/>
          <w:szCs w:val="17"/>
          <w:u w:val="single"/>
        </w:rPr>
        <w:tab/>
        <w:t>Teilanfechtung:</w:t>
      </w:r>
      <w:r w:rsidRPr="00702446">
        <w:rPr>
          <w:rFonts w:ascii="Times New Roman" w:hAnsi="Times New Roman"/>
          <w:b/>
          <w:spacing w:val="-2"/>
          <w:sz w:val="17"/>
          <w:szCs w:val="17"/>
        </w:rPr>
        <w:t xml:space="preserve"> </w:t>
      </w:r>
      <w:r w:rsidRPr="00702446">
        <w:rPr>
          <w:rFonts w:ascii="Times New Roman" w:hAnsi="Times New Roman"/>
          <w:spacing w:val="-2"/>
          <w:sz w:val="17"/>
          <w:szCs w:val="17"/>
        </w:rPr>
        <w:t xml:space="preserve">Diese ist sowohl bei der Berufung (§ 318 </w:t>
      </w:r>
      <w:r w:rsidR="00372655">
        <w:rPr>
          <w:rFonts w:ascii="Times New Roman" w:hAnsi="Times New Roman"/>
          <w:spacing w:val="-2"/>
          <w:sz w:val="17"/>
          <w:szCs w:val="17"/>
        </w:rPr>
        <w:t xml:space="preserve">S. 1 </w:t>
      </w:r>
      <w:r w:rsidRPr="00702446">
        <w:rPr>
          <w:rFonts w:ascii="Times New Roman" w:hAnsi="Times New Roman"/>
          <w:spacing w:val="-2"/>
          <w:sz w:val="17"/>
          <w:szCs w:val="17"/>
        </w:rPr>
        <w:t>StPO)</w:t>
      </w:r>
      <w:r w:rsidR="001301C4">
        <w:rPr>
          <w:rFonts w:ascii="Times New Roman" w:hAnsi="Times New Roman"/>
          <w:spacing w:val="-2"/>
          <w:sz w:val="17"/>
          <w:szCs w:val="17"/>
        </w:rPr>
        <w:t>,</w:t>
      </w:r>
      <w:r w:rsidRPr="00702446">
        <w:rPr>
          <w:rFonts w:ascii="Times New Roman" w:hAnsi="Times New Roman"/>
          <w:spacing w:val="-2"/>
          <w:sz w:val="17"/>
          <w:szCs w:val="17"/>
        </w:rPr>
        <w:t xml:space="preserve"> als auch bei der Revision (§ 344 </w:t>
      </w:r>
      <w:r w:rsidR="00F74C04">
        <w:rPr>
          <w:rFonts w:ascii="Times New Roman" w:hAnsi="Times New Roman"/>
          <w:spacing w:val="-2"/>
          <w:sz w:val="17"/>
          <w:szCs w:val="17"/>
        </w:rPr>
        <w:t xml:space="preserve">I </w:t>
      </w:r>
      <w:r w:rsidRPr="00702446">
        <w:rPr>
          <w:rFonts w:ascii="Times New Roman" w:hAnsi="Times New Roman"/>
          <w:spacing w:val="-2"/>
          <w:sz w:val="17"/>
          <w:szCs w:val="17"/>
        </w:rPr>
        <w:t>StPO</w:t>
      </w:r>
      <w:r w:rsidR="007F6F7B">
        <w:rPr>
          <w:rFonts w:ascii="Times New Roman" w:hAnsi="Times New Roman"/>
          <w:spacing w:val="-2"/>
          <w:sz w:val="17"/>
          <w:szCs w:val="17"/>
        </w:rPr>
        <w:t xml:space="preserve">: </w:t>
      </w:r>
      <w:r w:rsidR="00F74C04">
        <w:rPr>
          <w:rFonts w:ascii="Times New Roman" w:hAnsi="Times New Roman"/>
          <w:spacing w:val="-2"/>
          <w:sz w:val="17"/>
          <w:szCs w:val="17"/>
        </w:rPr>
        <w:t>„inwieweit“</w:t>
      </w:r>
      <w:r w:rsidRPr="00702446">
        <w:rPr>
          <w:rFonts w:ascii="Times New Roman" w:hAnsi="Times New Roman"/>
          <w:spacing w:val="-2"/>
          <w:sz w:val="17"/>
          <w:szCs w:val="17"/>
        </w:rPr>
        <w:t xml:space="preserve">) möglich, wenn der angefochtene Teil logisch und getrennt vom nicht angefochtenen Teil eine selbstständige Prüfung und Beurteilung zulässt. Bsp.: Beschränkung auf einzelne Taten im prozessualen Sinn oder auf </w:t>
      </w:r>
      <w:r w:rsidR="002709EC">
        <w:rPr>
          <w:rFonts w:ascii="Times New Roman" w:hAnsi="Times New Roman"/>
          <w:spacing w:val="-2"/>
          <w:sz w:val="17"/>
          <w:szCs w:val="17"/>
        </w:rPr>
        <w:t xml:space="preserve">den Rechtsfolgenausspruch (insb. auf </w:t>
      </w:r>
      <w:r w:rsidRPr="00702446">
        <w:rPr>
          <w:rFonts w:ascii="Times New Roman" w:hAnsi="Times New Roman"/>
          <w:spacing w:val="-2"/>
          <w:sz w:val="17"/>
          <w:szCs w:val="17"/>
        </w:rPr>
        <w:t>das Strafmaß</w:t>
      </w:r>
      <w:r w:rsidR="002709EC">
        <w:rPr>
          <w:rFonts w:ascii="Times New Roman" w:hAnsi="Times New Roman"/>
          <w:spacing w:val="-2"/>
          <w:sz w:val="17"/>
          <w:szCs w:val="17"/>
        </w:rPr>
        <w:t xml:space="preserve"> oder auf Bewährungsfragen)</w:t>
      </w:r>
      <w:r w:rsidRPr="00702446">
        <w:rPr>
          <w:rFonts w:ascii="Times New Roman" w:hAnsi="Times New Roman"/>
          <w:spacing w:val="-2"/>
          <w:sz w:val="17"/>
          <w:szCs w:val="17"/>
        </w:rPr>
        <w:t>; Anfechtung nur eines Mittäters</w:t>
      </w:r>
      <w:r w:rsidR="002709EC">
        <w:rPr>
          <w:rFonts w:ascii="Times New Roman" w:hAnsi="Times New Roman"/>
          <w:spacing w:val="-2"/>
          <w:sz w:val="17"/>
          <w:szCs w:val="17"/>
        </w:rPr>
        <w:t>.</w:t>
      </w:r>
    </w:p>
    <w:p w14:paraId="5BA569D3" w14:textId="77777777" w:rsidR="0075570A" w:rsidRPr="00702446" w:rsidRDefault="0075570A" w:rsidP="0075570A">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5. </w:t>
      </w:r>
      <w:r w:rsidRPr="00702446">
        <w:rPr>
          <w:rFonts w:ascii="Times New Roman" w:hAnsi="Times New Roman"/>
          <w:spacing w:val="-2"/>
          <w:sz w:val="17"/>
          <w:szCs w:val="17"/>
          <w:u w:val="single"/>
        </w:rPr>
        <w:tab/>
        <w:t>Teilrechtskraft:</w:t>
      </w:r>
      <w:r w:rsidRPr="00702446">
        <w:rPr>
          <w:rFonts w:ascii="Times New Roman" w:hAnsi="Times New Roman"/>
          <w:b/>
          <w:spacing w:val="-2"/>
          <w:sz w:val="17"/>
          <w:szCs w:val="17"/>
        </w:rPr>
        <w:t xml:space="preserve"> </w:t>
      </w:r>
      <w:r w:rsidRPr="00702446">
        <w:rPr>
          <w:rFonts w:ascii="Times New Roman" w:hAnsi="Times New Roman"/>
          <w:spacing w:val="-2"/>
          <w:sz w:val="17"/>
          <w:szCs w:val="17"/>
        </w:rPr>
        <w:t xml:space="preserve">Bei Teilanfechtung erwächst der nicht angefochtene Teil in </w:t>
      </w:r>
      <w:r w:rsidRPr="00702446">
        <w:rPr>
          <w:rFonts w:ascii="Times New Roman" w:hAnsi="Times New Roman"/>
          <w:b/>
          <w:spacing w:val="-2"/>
          <w:sz w:val="17"/>
          <w:szCs w:val="17"/>
        </w:rPr>
        <w:t>Teilrechtskraft</w:t>
      </w:r>
      <w:r w:rsidRPr="00702446">
        <w:rPr>
          <w:rFonts w:ascii="Times New Roman" w:hAnsi="Times New Roman"/>
          <w:spacing w:val="-2"/>
          <w:sz w:val="17"/>
          <w:szCs w:val="17"/>
        </w:rPr>
        <w:t>.</w:t>
      </w:r>
    </w:p>
    <w:p w14:paraId="73D99A7E" w14:textId="77777777" w:rsidR="0075570A" w:rsidRDefault="0075570A" w:rsidP="0075570A">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r w:rsidRPr="00702446">
        <w:rPr>
          <w:rFonts w:ascii="Times New Roman" w:hAnsi="Times New Roman"/>
          <w:spacing w:val="-2"/>
          <w:sz w:val="17"/>
          <w:szCs w:val="17"/>
          <w:u w:val="single"/>
        </w:rPr>
        <w:t xml:space="preserve">6. </w:t>
      </w:r>
      <w:r w:rsidRPr="00702446">
        <w:rPr>
          <w:rFonts w:ascii="Times New Roman" w:hAnsi="Times New Roman"/>
          <w:spacing w:val="-2"/>
          <w:sz w:val="17"/>
          <w:szCs w:val="17"/>
          <w:u w:val="single"/>
        </w:rPr>
        <w:tab/>
        <w:t>Rücknahme; Verzicht</w:t>
      </w:r>
      <w:r w:rsidRPr="00702446">
        <w:rPr>
          <w:rFonts w:ascii="Times New Roman" w:hAnsi="Times New Roman"/>
          <w:b/>
          <w:spacing w:val="-2"/>
          <w:sz w:val="17"/>
          <w:szCs w:val="17"/>
        </w:rPr>
        <w:t xml:space="preserve"> </w:t>
      </w:r>
      <w:r w:rsidRPr="00702446">
        <w:rPr>
          <w:rFonts w:ascii="Times New Roman" w:hAnsi="Times New Roman"/>
          <w:spacing w:val="-2"/>
          <w:sz w:val="17"/>
          <w:szCs w:val="17"/>
        </w:rPr>
        <w:t>(§ 302 StPO): Sowohl die Rücknahme (nach Einlegung)</w:t>
      </w:r>
      <w:r w:rsidR="001301C4">
        <w:rPr>
          <w:rFonts w:ascii="Times New Roman" w:hAnsi="Times New Roman"/>
          <w:spacing w:val="-2"/>
          <w:sz w:val="17"/>
          <w:szCs w:val="17"/>
        </w:rPr>
        <w:t>,</w:t>
      </w:r>
      <w:r w:rsidRPr="00702446">
        <w:rPr>
          <w:rFonts w:ascii="Times New Roman" w:hAnsi="Times New Roman"/>
          <w:spacing w:val="-2"/>
          <w:sz w:val="17"/>
          <w:szCs w:val="17"/>
        </w:rPr>
        <w:t xml:space="preserve"> als auch der Verzicht auf ein Rechtsmittel (vor Einlegung) ist möglich (auch und gerade vor Ablauf der Frist); allerdings sind gewisse Einschränkungen zu beachten (§§ 302 I 2, 303 StPO). Sie sind als Prozesshandlungen bedingungsfeindlich und können selbst nicht widerrufen werden.</w:t>
      </w:r>
    </w:p>
    <w:p w14:paraId="0127C0EE" w14:textId="77777777" w:rsid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7"/>
          <w:szCs w:val="17"/>
        </w:rPr>
      </w:pPr>
    </w:p>
    <w:p w14:paraId="52FCF497" w14:textId="45A6CED7"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7"/>
          <w:szCs w:val="17"/>
        </w:rPr>
      </w:pPr>
      <w:r w:rsidRPr="003D2F82">
        <w:rPr>
          <w:rFonts w:ascii="Times New Roman" w:hAnsi="Times New Roman"/>
          <w:b/>
          <w:bCs/>
          <w:spacing w:val="-2"/>
          <w:sz w:val="17"/>
          <w:szCs w:val="17"/>
        </w:rPr>
        <w:t>III. Allgemeine Zulässigkeitsvoraussetzungen (Prüfungsschema)</w:t>
      </w:r>
      <w:r>
        <w:rPr>
          <w:rFonts w:ascii="Times New Roman" w:hAnsi="Times New Roman"/>
          <w:spacing w:val="-2"/>
          <w:sz w:val="17"/>
          <w:szCs w:val="17"/>
        </w:rPr>
        <w:t xml:space="preserve">: teilweise geregelt in </w:t>
      </w:r>
      <w:r w:rsidRPr="007F6F7B">
        <w:rPr>
          <w:rFonts w:ascii="Times New Roman" w:hAnsi="Times New Roman"/>
          <w:spacing w:val="-2"/>
          <w:sz w:val="17"/>
          <w:szCs w:val="17"/>
        </w:rPr>
        <w:t>den §§</w:t>
      </w:r>
      <w:r>
        <w:rPr>
          <w:rFonts w:ascii="Times New Roman" w:hAnsi="Times New Roman"/>
          <w:spacing w:val="-2"/>
          <w:sz w:val="17"/>
          <w:szCs w:val="17"/>
        </w:rPr>
        <w:t> </w:t>
      </w:r>
      <w:r w:rsidRPr="007F6F7B">
        <w:rPr>
          <w:rFonts w:ascii="Times New Roman" w:hAnsi="Times New Roman"/>
          <w:spacing w:val="-2"/>
          <w:sz w:val="17"/>
          <w:szCs w:val="17"/>
        </w:rPr>
        <w:t>296-303 StPO</w:t>
      </w:r>
    </w:p>
    <w:p w14:paraId="4D401986" w14:textId="2B59D8F6"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76" w:hanging="296"/>
        <w:jc w:val="both"/>
        <w:rPr>
          <w:rFonts w:ascii="Times New Roman" w:hAnsi="Times New Roman"/>
          <w:spacing w:val="-2"/>
          <w:sz w:val="17"/>
          <w:szCs w:val="17"/>
        </w:rPr>
      </w:pPr>
      <w:r w:rsidRPr="007F6F7B">
        <w:rPr>
          <w:rFonts w:ascii="Times New Roman" w:hAnsi="Times New Roman"/>
          <w:spacing w:val="-2"/>
          <w:sz w:val="17"/>
          <w:szCs w:val="17"/>
          <w:u w:val="single"/>
        </w:rPr>
        <w:t>1.</w:t>
      </w:r>
      <w:r>
        <w:rPr>
          <w:rFonts w:ascii="Times New Roman" w:hAnsi="Times New Roman"/>
          <w:spacing w:val="-2"/>
          <w:sz w:val="17"/>
          <w:szCs w:val="17"/>
          <w:u w:val="single"/>
        </w:rPr>
        <w:t xml:space="preserve"> </w:t>
      </w:r>
      <w:r>
        <w:rPr>
          <w:rFonts w:ascii="Times New Roman" w:hAnsi="Times New Roman"/>
          <w:spacing w:val="-2"/>
          <w:sz w:val="17"/>
          <w:szCs w:val="17"/>
          <w:u w:val="single"/>
        </w:rPr>
        <w:tab/>
      </w:r>
      <w:r w:rsidRPr="007F6F7B">
        <w:rPr>
          <w:rFonts w:ascii="Times New Roman" w:hAnsi="Times New Roman"/>
          <w:spacing w:val="-2"/>
          <w:sz w:val="17"/>
          <w:szCs w:val="17"/>
          <w:u w:val="single"/>
        </w:rPr>
        <w:t>Statthaftigkeit</w:t>
      </w:r>
      <w:r w:rsidRPr="007F6F7B">
        <w:rPr>
          <w:rFonts w:ascii="Times New Roman" w:hAnsi="Times New Roman"/>
          <w:spacing w:val="-2"/>
          <w:sz w:val="17"/>
          <w:szCs w:val="17"/>
        </w:rPr>
        <w:t xml:space="preserve"> des Rechtsmittels (vgl. oben bei den einzelnen Rechtsmitteln): Ergeht eine Entscheidung in falscher Form (Urteil statt Beschluss),</w:t>
      </w:r>
      <w:r>
        <w:rPr>
          <w:rFonts w:ascii="Times New Roman" w:hAnsi="Times New Roman"/>
          <w:spacing w:val="-2"/>
          <w:sz w:val="17"/>
          <w:szCs w:val="17"/>
        </w:rPr>
        <w:t xml:space="preserve"> </w:t>
      </w:r>
      <w:r w:rsidRPr="007F6F7B">
        <w:rPr>
          <w:rFonts w:ascii="Times New Roman" w:hAnsi="Times New Roman"/>
          <w:spacing w:val="-2"/>
          <w:sz w:val="17"/>
          <w:szCs w:val="17"/>
        </w:rPr>
        <w:t>ist die falsche Bezeichnung des eingelegten Rechtsmittels (Berufung statt Beschwerde) unbeachtlich (§ 300 StPO). Dem Betroffenen steht das Rechtsmittel zur Verfügung, welches für die ordnungsgemäße Entscheidung gegeben wäre (</w:t>
      </w:r>
      <w:proofErr w:type="spellStart"/>
      <w:r w:rsidRPr="007F6F7B">
        <w:rPr>
          <w:rFonts w:ascii="Times New Roman" w:hAnsi="Times New Roman"/>
          <w:spacing w:val="-2"/>
          <w:sz w:val="17"/>
          <w:szCs w:val="17"/>
        </w:rPr>
        <w:t>str.</w:t>
      </w:r>
      <w:proofErr w:type="spellEnd"/>
      <w:r w:rsidRPr="007F6F7B">
        <w:rPr>
          <w:rFonts w:ascii="Times New Roman" w:hAnsi="Times New Roman"/>
          <w:spacing w:val="-2"/>
          <w:sz w:val="17"/>
          <w:szCs w:val="17"/>
        </w:rPr>
        <w:t>).</w:t>
      </w:r>
    </w:p>
    <w:p w14:paraId="2F200D43" w14:textId="63CFAE68"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280"/>
        <w:jc w:val="both"/>
        <w:rPr>
          <w:rFonts w:ascii="Times New Roman" w:hAnsi="Times New Roman"/>
          <w:spacing w:val="-2"/>
          <w:sz w:val="17"/>
          <w:szCs w:val="17"/>
        </w:rPr>
      </w:pPr>
      <w:r>
        <w:rPr>
          <w:rFonts w:ascii="Times New Roman" w:hAnsi="Times New Roman"/>
          <w:spacing w:val="-2"/>
          <w:sz w:val="17"/>
          <w:szCs w:val="17"/>
          <w:u w:val="single"/>
        </w:rPr>
        <w:t xml:space="preserve">2. </w:t>
      </w:r>
      <w:r>
        <w:rPr>
          <w:rFonts w:ascii="Times New Roman" w:hAnsi="Times New Roman"/>
          <w:spacing w:val="-2"/>
          <w:sz w:val="17"/>
          <w:szCs w:val="17"/>
          <w:u w:val="single"/>
        </w:rPr>
        <w:tab/>
      </w:r>
      <w:r w:rsidRPr="007F6F7B">
        <w:rPr>
          <w:rFonts w:ascii="Times New Roman" w:hAnsi="Times New Roman"/>
          <w:spacing w:val="-2"/>
          <w:sz w:val="17"/>
          <w:szCs w:val="17"/>
          <w:u w:val="single"/>
        </w:rPr>
        <w:t>Beschwer:</w:t>
      </w:r>
      <w:r w:rsidRPr="007F6F7B">
        <w:rPr>
          <w:rFonts w:ascii="Times New Roman" w:hAnsi="Times New Roman"/>
          <w:spacing w:val="-2"/>
          <w:sz w:val="17"/>
          <w:szCs w:val="17"/>
        </w:rPr>
        <w:t xml:space="preserve"> Fehlt diese, ist das Rechtsmittel unzulässig (nicht unbegründet).</w:t>
      </w:r>
    </w:p>
    <w:p w14:paraId="28705658" w14:textId="1B6C2736" w:rsid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76"/>
        <w:jc w:val="both"/>
        <w:rPr>
          <w:rFonts w:ascii="Times New Roman" w:hAnsi="Times New Roman"/>
          <w:spacing w:val="-2"/>
          <w:sz w:val="17"/>
          <w:szCs w:val="17"/>
        </w:rPr>
      </w:pPr>
      <w:r w:rsidRPr="007F6F7B">
        <w:rPr>
          <w:rFonts w:ascii="Times New Roman" w:hAnsi="Times New Roman"/>
          <w:b/>
          <w:bCs/>
          <w:spacing w:val="-2"/>
          <w:sz w:val="17"/>
          <w:szCs w:val="17"/>
        </w:rPr>
        <w:t>Grundsatz</w:t>
      </w:r>
      <w:r w:rsidRPr="007F6F7B">
        <w:rPr>
          <w:rFonts w:ascii="Times New Roman" w:hAnsi="Times New Roman"/>
          <w:spacing w:val="-2"/>
          <w:sz w:val="17"/>
          <w:szCs w:val="17"/>
        </w:rPr>
        <w:t>: Der Betreffende muss geltend machen, dass er durch die Entscheidung beschwert ist, d.h. dass sie zu seinem Nachteil ergangen ist</w:t>
      </w:r>
      <w:r>
        <w:rPr>
          <w:rFonts w:ascii="Times New Roman" w:hAnsi="Times New Roman"/>
          <w:spacing w:val="-2"/>
          <w:sz w:val="17"/>
          <w:szCs w:val="17"/>
        </w:rPr>
        <w:t xml:space="preserve"> </w:t>
      </w:r>
      <w:r w:rsidRPr="007F6F7B">
        <w:rPr>
          <w:rFonts w:ascii="Times New Roman" w:hAnsi="Times New Roman"/>
          <w:spacing w:val="-2"/>
          <w:sz w:val="17"/>
          <w:szCs w:val="17"/>
        </w:rPr>
        <w:t xml:space="preserve">(z.B.: Verurteilung). Diese Beschwer muss sich aus dem Tenor der Entscheidung ergeben (ein Nachteil, der nur aus den Urteilsgründen erwächst, genügt nicht; </w:t>
      </w:r>
      <w:proofErr w:type="spellStart"/>
      <w:r w:rsidRPr="007F6F7B">
        <w:rPr>
          <w:rFonts w:ascii="Times New Roman" w:hAnsi="Times New Roman"/>
          <w:spacing w:val="-2"/>
          <w:sz w:val="17"/>
          <w:szCs w:val="17"/>
        </w:rPr>
        <w:t>Bsp</w:t>
      </w:r>
      <w:proofErr w:type="spellEnd"/>
      <w:r w:rsidRPr="007F6F7B">
        <w:rPr>
          <w:rFonts w:ascii="Times New Roman" w:hAnsi="Times New Roman"/>
          <w:spacing w:val="-2"/>
          <w:sz w:val="17"/>
          <w:szCs w:val="17"/>
        </w:rPr>
        <w:t>: aus dem Tenor eines Freispruchs ergibt sich nicht, ob der Angeklagte aus rechtlichen Gründen, wegen erwiesener Unschuld oder mangels Beweise freigesprochen wird; es gibt keinen Freispruch „zweiter Klasse“).</w:t>
      </w:r>
    </w:p>
    <w:p w14:paraId="13ECEFA3" w14:textId="7C02737B"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76"/>
        <w:jc w:val="both"/>
        <w:rPr>
          <w:rFonts w:ascii="Times New Roman" w:hAnsi="Times New Roman"/>
          <w:spacing w:val="-2"/>
          <w:sz w:val="17"/>
          <w:szCs w:val="17"/>
        </w:rPr>
      </w:pPr>
      <w:r w:rsidRPr="007F6F7B">
        <w:rPr>
          <w:rFonts w:ascii="Times New Roman" w:hAnsi="Times New Roman"/>
          <w:b/>
          <w:bCs/>
          <w:spacing w:val="-2"/>
          <w:sz w:val="17"/>
          <w:szCs w:val="17"/>
        </w:rPr>
        <w:t>Ausnahme</w:t>
      </w:r>
      <w:r w:rsidRPr="007F6F7B">
        <w:rPr>
          <w:rFonts w:ascii="Times New Roman" w:hAnsi="Times New Roman"/>
          <w:spacing w:val="-2"/>
          <w:sz w:val="17"/>
          <w:szCs w:val="17"/>
        </w:rPr>
        <w:t xml:space="preserve">: die </w:t>
      </w:r>
      <w:proofErr w:type="spellStart"/>
      <w:r w:rsidRPr="007F6F7B">
        <w:rPr>
          <w:rFonts w:ascii="Times New Roman" w:hAnsi="Times New Roman"/>
          <w:spacing w:val="-2"/>
          <w:sz w:val="17"/>
          <w:szCs w:val="17"/>
        </w:rPr>
        <w:t>StA</w:t>
      </w:r>
      <w:proofErr w:type="spellEnd"/>
      <w:r w:rsidRPr="007F6F7B">
        <w:rPr>
          <w:rFonts w:ascii="Times New Roman" w:hAnsi="Times New Roman"/>
          <w:spacing w:val="-2"/>
          <w:sz w:val="17"/>
          <w:szCs w:val="17"/>
        </w:rPr>
        <w:t>, die auch zu Gunsten des Einzelnen Rechtsmittel einlegen kann (§ 296 II StPO). Sie ist insoweit durch jede unrichtige Entscheidung beschwert.</w:t>
      </w:r>
    </w:p>
    <w:p w14:paraId="03B1EF20" w14:textId="77777777"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76" w:hanging="576"/>
        <w:jc w:val="both"/>
        <w:rPr>
          <w:rFonts w:ascii="Times New Roman" w:hAnsi="Times New Roman"/>
          <w:spacing w:val="-2"/>
          <w:sz w:val="17"/>
          <w:szCs w:val="17"/>
        </w:rPr>
      </w:pPr>
      <w:r w:rsidRPr="007F6F7B">
        <w:rPr>
          <w:rFonts w:ascii="Times New Roman" w:hAnsi="Times New Roman"/>
          <w:spacing w:val="-2"/>
          <w:sz w:val="17"/>
          <w:szCs w:val="17"/>
        </w:rPr>
        <w:tab/>
        <w:t xml:space="preserve">3. </w:t>
      </w:r>
      <w:r w:rsidRPr="007F6F7B">
        <w:rPr>
          <w:rFonts w:ascii="Times New Roman" w:hAnsi="Times New Roman"/>
          <w:spacing w:val="-2"/>
          <w:sz w:val="17"/>
          <w:szCs w:val="17"/>
        </w:rPr>
        <w:tab/>
      </w:r>
      <w:r w:rsidRPr="007F6F7B">
        <w:rPr>
          <w:rFonts w:ascii="Times New Roman" w:hAnsi="Times New Roman"/>
          <w:spacing w:val="-2"/>
          <w:sz w:val="17"/>
          <w:szCs w:val="17"/>
          <w:u w:val="single"/>
        </w:rPr>
        <w:t>Anfechtungsberechtigung</w:t>
      </w:r>
      <w:r w:rsidRPr="007F6F7B">
        <w:rPr>
          <w:rFonts w:ascii="Times New Roman" w:hAnsi="Times New Roman"/>
          <w:spacing w:val="-2"/>
          <w:sz w:val="17"/>
          <w:szCs w:val="17"/>
        </w:rPr>
        <w:t xml:space="preserve">: </w:t>
      </w:r>
      <w:proofErr w:type="spellStart"/>
      <w:r w:rsidRPr="007F6F7B">
        <w:rPr>
          <w:rFonts w:ascii="Times New Roman" w:hAnsi="Times New Roman"/>
          <w:spacing w:val="-2"/>
          <w:sz w:val="17"/>
          <w:szCs w:val="17"/>
        </w:rPr>
        <w:t>StA</w:t>
      </w:r>
      <w:proofErr w:type="spellEnd"/>
      <w:r w:rsidRPr="007F6F7B">
        <w:rPr>
          <w:rFonts w:ascii="Times New Roman" w:hAnsi="Times New Roman"/>
          <w:spacing w:val="-2"/>
          <w:sz w:val="17"/>
          <w:szCs w:val="17"/>
        </w:rPr>
        <w:t xml:space="preserve"> (§ 296 I, II StPO); Beschuldigter (§ 296 I StPO); Verteidiger (§ 297 StPO; aber nicht gegen den ausdrücklichen Willen des Beschuldigten); gesetzlicher Vertreter (§ 298 I StPO; auch gegen den Willen des Beschuldigten); Privatkläger im Privatklageverfahren (§ 390 I StPO); Nebenkläger, soweit beschwert (§§ 395 IV 2, 400, 401 StPO).</w:t>
      </w:r>
    </w:p>
    <w:p w14:paraId="5C2F46DC" w14:textId="1F28F5B8"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76" w:hanging="576"/>
        <w:jc w:val="both"/>
        <w:rPr>
          <w:rFonts w:ascii="Times New Roman" w:hAnsi="Times New Roman"/>
          <w:spacing w:val="-2"/>
          <w:sz w:val="17"/>
          <w:szCs w:val="17"/>
        </w:rPr>
      </w:pPr>
      <w:r w:rsidRPr="007F6F7B">
        <w:rPr>
          <w:rFonts w:ascii="Times New Roman" w:hAnsi="Times New Roman"/>
          <w:spacing w:val="-2"/>
          <w:sz w:val="17"/>
          <w:szCs w:val="17"/>
        </w:rPr>
        <w:tab/>
        <w:t xml:space="preserve">4. </w:t>
      </w:r>
      <w:r w:rsidRPr="007F6F7B">
        <w:rPr>
          <w:rFonts w:ascii="Times New Roman" w:hAnsi="Times New Roman"/>
          <w:spacing w:val="-2"/>
          <w:sz w:val="17"/>
          <w:szCs w:val="17"/>
        </w:rPr>
        <w:tab/>
      </w:r>
      <w:r w:rsidRPr="007F6F7B">
        <w:rPr>
          <w:rFonts w:ascii="Times New Roman" w:hAnsi="Times New Roman"/>
          <w:spacing w:val="-2"/>
          <w:sz w:val="17"/>
          <w:szCs w:val="17"/>
          <w:u w:val="single"/>
        </w:rPr>
        <w:t>Frist:</w:t>
      </w:r>
      <w:r w:rsidRPr="007F6F7B">
        <w:rPr>
          <w:rFonts w:ascii="Times New Roman" w:hAnsi="Times New Roman"/>
          <w:spacing w:val="-2"/>
          <w:sz w:val="17"/>
          <w:szCs w:val="17"/>
        </w:rPr>
        <w:t xml:space="preserve"> Die sofortige Beschwerde (§ 311 II </w:t>
      </w:r>
      <w:proofErr w:type="spellStart"/>
      <w:r w:rsidRPr="007F6F7B">
        <w:rPr>
          <w:rFonts w:ascii="Times New Roman" w:hAnsi="Times New Roman"/>
          <w:spacing w:val="-2"/>
          <w:sz w:val="17"/>
          <w:szCs w:val="17"/>
        </w:rPr>
        <w:t>Hs</w:t>
      </w:r>
      <w:proofErr w:type="spellEnd"/>
      <w:r w:rsidRPr="007F6F7B">
        <w:rPr>
          <w:rFonts w:ascii="Times New Roman" w:hAnsi="Times New Roman"/>
          <w:spacing w:val="-2"/>
          <w:sz w:val="17"/>
          <w:szCs w:val="17"/>
        </w:rPr>
        <w:t>. 1 StPO), die Berufung (§ 314 I StPO) und die Revision (§ 341 I StPO) müssen binnen einer Woche eingelegt werden. Die Revision muss ferner binnen eines Monats ab Ablauf der Einlegungsfrist bzw. Urteilszustellung begründet werden, §§ 344, 345 StPO. Die einfache Beschwerde ist unbefristet möglich.</w:t>
      </w:r>
    </w:p>
    <w:p w14:paraId="1CBE5485" w14:textId="77777777" w:rsidR="007F6F7B" w:rsidRPr="007F6F7B"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7"/>
          <w:szCs w:val="17"/>
        </w:rPr>
      </w:pPr>
      <w:r w:rsidRPr="007F6F7B">
        <w:rPr>
          <w:rFonts w:ascii="Times New Roman" w:hAnsi="Times New Roman"/>
          <w:spacing w:val="-2"/>
          <w:sz w:val="17"/>
          <w:szCs w:val="17"/>
        </w:rPr>
        <w:tab/>
        <w:t xml:space="preserve">5. </w:t>
      </w:r>
      <w:r w:rsidRPr="007F6F7B">
        <w:rPr>
          <w:rFonts w:ascii="Times New Roman" w:hAnsi="Times New Roman"/>
          <w:spacing w:val="-2"/>
          <w:sz w:val="17"/>
          <w:szCs w:val="17"/>
        </w:rPr>
        <w:tab/>
      </w:r>
      <w:r w:rsidRPr="007F6F7B">
        <w:rPr>
          <w:rFonts w:ascii="Times New Roman" w:hAnsi="Times New Roman"/>
          <w:spacing w:val="-2"/>
          <w:sz w:val="17"/>
          <w:szCs w:val="17"/>
          <w:u w:val="single"/>
        </w:rPr>
        <w:t>Adressat:</w:t>
      </w:r>
      <w:r w:rsidRPr="007F6F7B">
        <w:rPr>
          <w:rFonts w:ascii="Times New Roman" w:hAnsi="Times New Roman"/>
          <w:spacing w:val="-2"/>
          <w:sz w:val="17"/>
          <w:szCs w:val="17"/>
        </w:rPr>
        <w:t xml:space="preserve"> Gericht, dessen Entscheidung angefochten wurde (</w:t>
      </w:r>
      <w:proofErr w:type="spellStart"/>
      <w:r w:rsidRPr="007F6F7B">
        <w:rPr>
          <w:rFonts w:ascii="Times New Roman" w:hAnsi="Times New Roman"/>
          <w:spacing w:val="-2"/>
          <w:sz w:val="17"/>
          <w:szCs w:val="17"/>
        </w:rPr>
        <w:t>iudex</w:t>
      </w:r>
      <w:proofErr w:type="spellEnd"/>
      <w:r w:rsidRPr="007F6F7B">
        <w:rPr>
          <w:rFonts w:ascii="Times New Roman" w:hAnsi="Times New Roman"/>
          <w:spacing w:val="-2"/>
          <w:sz w:val="17"/>
          <w:szCs w:val="17"/>
        </w:rPr>
        <w:t xml:space="preserve"> a quo), nicht das Rechtsmittelgericht (</w:t>
      </w:r>
      <w:proofErr w:type="spellStart"/>
      <w:r w:rsidRPr="007F6F7B">
        <w:rPr>
          <w:rFonts w:ascii="Times New Roman" w:hAnsi="Times New Roman"/>
          <w:spacing w:val="-2"/>
          <w:sz w:val="17"/>
          <w:szCs w:val="17"/>
        </w:rPr>
        <w:t>iudex</w:t>
      </w:r>
      <w:proofErr w:type="spellEnd"/>
      <w:r w:rsidRPr="007F6F7B">
        <w:rPr>
          <w:rFonts w:ascii="Times New Roman" w:hAnsi="Times New Roman"/>
          <w:spacing w:val="-2"/>
          <w:sz w:val="17"/>
          <w:szCs w:val="17"/>
        </w:rPr>
        <w:t xml:space="preserve"> ad </w:t>
      </w:r>
      <w:proofErr w:type="spellStart"/>
      <w:r w:rsidRPr="007F6F7B">
        <w:rPr>
          <w:rFonts w:ascii="Times New Roman" w:hAnsi="Times New Roman"/>
          <w:spacing w:val="-2"/>
          <w:sz w:val="17"/>
          <w:szCs w:val="17"/>
        </w:rPr>
        <w:t>quem</w:t>
      </w:r>
      <w:proofErr w:type="spellEnd"/>
      <w:r w:rsidRPr="007F6F7B">
        <w:rPr>
          <w:rFonts w:ascii="Times New Roman" w:hAnsi="Times New Roman"/>
          <w:spacing w:val="-2"/>
          <w:sz w:val="17"/>
          <w:szCs w:val="17"/>
        </w:rPr>
        <w:t>).</w:t>
      </w:r>
    </w:p>
    <w:p w14:paraId="1C86310F" w14:textId="303ED50D" w:rsidR="007F6F7B" w:rsidRPr="00702446" w:rsidRDefault="007F6F7B" w:rsidP="007F6F7B">
      <w:pPr>
        <w:widowControl/>
        <w:tabs>
          <w:tab w:val="left" w:pos="-720"/>
          <w:tab w:val="left" w:pos="0"/>
          <w:tab w:val="left" w:pos="284"/>
          <w:tab w:val="left" w:pos="576"/>
          <w:tab w:val="left" w:pos="864"/>
          <w:tab w:val="left" w:pos="1116"/>
          <w:tab w:val="left" w:pos="1404"/>
          <w:tab w:val="left" w:pos="1692"/>
          <w:tab w:val="left" w:pos="1980"/>
          <w:tab w:val="left" w:pos="2268"/>
          <w:tab w:val="left" w:pos="2880"/>
        </w:tabs>
        <w:ind w:left="576" w:hanging="576"/>
        <w:jc w:val="both"/>
        <w:rPr>
          <w:rFonts w:ascii="Times New Roman" w:hAnsi="Times New Roman"/>
          <w:spacing w:val="-2"/>
          <w:sz w:val="17"/>
          <w:szCs w:val="17"/>
        </w:rPr>
      </w:pPr>
      <w:r w:rsidRPr="007F6F7B">
        <w:rPr>
          <w:rFonts w:ascii="Times New Roman" w:hAnsi="Times New Roman"/>
          <w:spacing w:val="-2"/>
          <w:sz w:val="17"/>
          <w:szCs w:val="17"/>
        </w:rPr>
        <w:tab/>
        <w:t xml:space="preserve">6. </w:t>
      </w:r>
      <w:r w:rsidRPr="007F6F7B">
        <w:rPr>
          <w:rFonts w:ascii="Times New Roman" w:hAnsi="Times New Roman"/>
          <w:spacing w:val="-2"/>
          <w:sz w:val="17"/>
          <w:szCs w:val="17"/>
        </w:rPr>
        <w:tab/>
      </w:r>
      <w:r w:rsidRPr="007F6F7B">
        <w:rPr>
          <w:rFonts w:ascii="Times New Roman" w:hAnsi="Times New Roman"/>
          <w:spacing w:val="-2"/>
          <w:sz w:val="17"/>
          <w:szCs w:val="17"/>
          <w:u w:val="single"/>
        </w:rPr>
        <w:t>Form:</w:t>
      </w:r>
      <w:r w:rsidRPr="007F6F7B">
        <w:rPr>
          <w:rFonts w:ascii="Times New Roman" w:hAnsi="Times New Roman"/>
          <w:spacing w:val="-2"/>
          <w:sz w:val="17"/>
          <w:szCs w:val="17"/>
        </w:rPr>
        <w:t xml:space="preserve"> Einlegung schriftlich oder zu Protokoll der Geschäftsstelle (§§ 314 I, 341 I StPO</w:t>
      </w:r>
      <w:r w:rsidR="00F024C2">
        <w:rPr>
          <w:rFonts w:ascii="Times New Roman" w:hAnsi="Times New Roman"/>
          <w:spacing w:val="-2"/>
          <w:sz w:val="17"/>
          <w:szCs w:val="17"/>
        </w:rPr>
        <w:t>;</w:t>
      </w:r>
      <w:r w:rsidR="00680454">
        <w:rPr>
          <w:rFonts w:ascii="Times New Roman" w:hAnsi="Times New Roman"/>
          <w:spacing w:val="-2"/>
          <w:sz w:val="17"/>
          <w:szCs w:val="17"/>
        </w:rPr>
        <w:t xml:space="preserve"> bei inhaftierten Beschuldigten ist</w:t>
      </w:r>
      <w:r w:rsidR="00391029">
        <w:rPr>
          <w:rFonts w:ascii="Times New Roman" w:hAnsi="Times New Roman"/>
          <w:spacing w:val="-2"/>
          <w:sz w:val="17"/>
          <w:szCs w:val="17"/>
        </w:rPr>
        <w:t xml:space="preserve"> </w:t>
      </w:r>
      <w:r w:rsidR="00680454">
        <w:rPr>
          <w:rFonts w:ascii="Times New Roman" w:hAnsi="Times New Roman"/>
          <w:spacing w:val="-2"/>
          <w:sz w:val="17"/>
          <w:szCs w:val="17"/>
        </w:rPr>
        <w:t>§ 299 StPO zu berücksichtigen</w:t>
      </w:r>
      <w:r w:rsidRPr="007F6F7B">
        <w:rPr>
          <w:rFonts w:ascii="Times New Roman" w:hAnsi="Times New Roman"/>
          <w:spacing w:val="-2"/>
          <w:sz w:val="17"/>
          <w:szCs w:val="17"/>
        </w:rPr>
        <w:t>); nur die Revision muss begründet werden (§ 344 StPO); die Berufung hingegen kann begründet werden (§ 317 StPO).</w:t>
      </w:r>
    </w:p>
    <w:p w14:paraId="5DD8DA9E" w14:textId="77777777" w:rsidR="00312FE2" w:rsidRPr="00EB1AFA" w:rsidRDefault="00312FE2" w:rsidP="00EB1AFA">
      <w:pPr>
        <w:widowControl/>
        <w:tabs>
          <w:tab w:val="left" w:pos="-720"/>
          <w:tab w:val="left" w:pos="0"/>
          <w:tab w:val="left" w:pos="288"/>
          <w:tab w:val="left" w:pos="576"/>
          <w:tab w:val="left" w:pos="864"/>
          <w:tab w:val="left" w:pos="1134"/>
          <w:tab w:val="left" w:pos="1404"/>
          <w:tab w:val="left" w:pos="1692"/>
          <w:tab w:val="left" w:pos="1985"/>
          <w:tab w:val="left" w:pos="2268"/>
          <w:tab w:val="left" w:pos="2880"/>
        </w:tabs>
        <w:jc w:val="both"/>
        <w:rPr>
          <w:rFonts w:ascii="Times New Roman" w:hAnsi="Times New Roman"/>
          <w:b/>
          <w:spacing w:val="-2"/>
          <w:sz w:val="15"/>
          <w:szCs w:val="15"/>
        </w:rPr>
      </w:pPr>
    </w:p>
    <w:p w14:paraId="6347D03D" w14:textId="78C7C87C" w:rsidR="0075570A" w:rsidRPr="00EB1AFA" w:rsidRDefault="0075570A" w:rsidP="0043715B">
      <w:pPr>
        <w:widowControl/>
        <w:tabs>
          <w:tab w:val="left" w:pos="-720"/>
          <w:tab w:val="left" w:pos="0"/>
          <w:tab w:val="left" w:pos="288"/>
          <w:tab w:val="left" w:pos="576"/>
          <w:tab w:val="left" w:pos="864"/>
          <w:tab w:val="left" w:pos="1134"/>
          <w:tab w:val="left" w:pos="1404"/>
          <w:tab w:val="left" w:pos="1692"/>
          <w:tab w:val="left" w:pos="1985"/>
          <w:tab w:val="left" w:pos="2268"/>
          <w:tab w:val="left" w:pos="2880"/>
        </w:tabs>
        <w:spacing w:line="216" w:lineRule="auto"/>
        <w:ind w:left="1980" w:hanging="1980"/>
        <w:jc w:val="both"/>
        <w:rPr>
          <w:rFonts w:ascii="Times New Roman" w:hAnsi="Times New Roman"/>
          <w:spacing w:val="-2"/>
          <w:sz w:val="15"/>
          <w:szCs w:val="15"/>
        </w:rPr>
      </w:pPr>
      <w:r w:rsidRPr="00EB1AFA">
        <w:rPr>
          <w:rFonts w:ascii="Times New Roman" w:hAnsi="Times New Roman"/>
          <w:b/>
          <w:spacing w:val="-2"/>
          <w:sz w:val="15"/>
          <w:szCs w:val="15"/>
        </w:rPr>
        <w:t>Literatur/Lehrbücher:</w:t>
      </w:r>
      <w:r w:rsidRPr="00EB1AFA">
        <w:rPr>
          <w:rFonts w:ascii="Times New Roman" w:hAnsi="Times New Roman"/>
          <w:b/>
          <w:spacing w:val="-2"/>
          <w:sz w:val="15"/>
          <w:szCs w:val="15"/>
        </w:rPr>
        <w:tab/>
      </w:r>
      <w:r w:rsidR="00DC7CD9" w:rsidRPr="00EB1AFA">
        <w:rPr>
          <w:rFonts w:ascii="Times New Roman" w:hAnsi="Times New Roman"/>
          <w:i/>
          <w:spacing w:val="-2"/>
          <w:sz w:val="15"/>
          <w:szCs w:val="15"/>
        </w:rPr>
        <w:t>Heinrich/Reinbacher</w:t>
      </w:r>
      <w:r w:rsidR="00DC7CD9" w:rsidRPr="00EB1AFA">
        <w:rPr>
          <w:rFonts w:ascii="Times New Roman" w:hAnsi="Times New Roman"/>
          <w:spacing w:val="-2"/>
          <w:sz w:val="15"/>
          <w:szCs w:val="15"/>
        </w:rPr>
        <w:t xml:space="preserve">, Examinatorium Strafprozessrecht, </w:t>
      </w:r>
      <w:r w:rsidR="00AF6F58">
        <w:rPr>
          <w:rFonts w:ascii="Times New Roman" w:hAnsi="Times New Roman"/>
          <w:spacing w:val="-2"/>
          <w:sz w:val="15"/>
          <w:szCs w:val="15"/>
        </w:rPr>
        <w:t>4</w:t>
      </w:r>
      <w:r w:rsidR="000E2ECE" w:rsidRPr="00EB1AFA">
        <w:rPr>
          <w:rFonts w:ascii="Times New Roman" w:hAnsi="Times New Roman"/>
          <w:spacing w:val="-2"/>
          <w:sz w:val="15"/>
          <w:szCs w:val="15"/>
        </w:rPr>
        <w:t>. Auflage 20</w:t>
      </w:r>
      <w:r w:rsidR="00AB702B">
        <w:rPr>
          <w:rFonts w:ascii="Times New Roman" w:hAnsi="Times New Roman"/>
          <w:spacing w:val="-2"/>
          <w:sz w:val="15"/>
          <w:szCs w:val="15"/>
        </w:rPr>
        <w:t>2</w:t>
      </w:r>
      <w:r w:rsidR="00AF6F58">
        <w:rPr>
          <w:rFonts w:ascii="Times New Roman" w:hAnsi="Times New Roman"/>
          <w:spacing w:val="-2"/>
          <w:sz w:val="15"/>
          <w:szCs w:val="15"/>
        </w:rPr>
        <w:t>3</w:t>
      </w:r>
      <w:r w:rsidR="000E2ECE" w:rsidRPr="00EB1AFA">
        <w:rPr>
          <w:rFonts w:ascii="Times New Roman" w:hAnsi="Times New Roman"/>
          <w:spacing w:val="-2"/>
          <w:sz w:val="15"/>
          <w:szCs w:val="15"/>
        </w:rPr>
        <w:t xml:space="preserve">, </w:t>
      </w:r>
      <w:r w:rsidR="00DC7CD9" w:rsidRPr="00EB1AFA">
        <w:rPr>
          <w:rFonts w:ascii="Times New Roman" w:hAnsi="Times New Roman"/>
          <w:spacing w:val="-2"/>
          <w:sz w:val="15"/>
          <w:szCs w:val="15"/>
        </w:rPr>
        <w:t>Problem</w:t>
      </w:r>
      <w:r w:rsidR="0024657A">
        <w:rPr>
          <w:rFonts w:ascii="Times New Roman" w:hAnsi="Times New Roman"/>
          <w:spacing w:val="-2"/>
          <w:sz w:val="15"/>
          <w:szCs w:val="15"/>
        </w:rPr>
        <w:t> </w:t>
      </w:r>
      <w:r w:rsidR="00DC7CD9" w:rsidRPr="00EB1AFA">
        <w:rPr>
          <w:rFonts w:ascii="Times New Roman" w:hAnsi="Times New Roman"/>
          <w:spacing w:val="-2"/>
          <w:sz w:val="15"/>
          <w:szCs w:val="15"/>
        </w:rPr>
        <w:t>42.</w:t>
      </w:r>
    </w:p>
    <w:p w14:paraId="550CA321" w14:textId="77777777" w:rsidR="0075570A" w:rsidRPr="00EB1AFA" w:rsidRDefault="0075570A" w:rsidP="0043715B">
      <w:pPr>
        <w:widowControl/>
        <w:tabs>
          <w:tab w:val="left" w:pos="-720"/>
          <w:tab w:val="left" w:pos="0"/>
          <w:tab w:val="left" w:pos="288"/>
          <w:tab w:val="left" w:pos="576"/>
          <w:tab w:val="left" w:pos="864"/>
          <w:tab w:val="left" w:pos="1134"/>
          <w:tab w:val="left" w:pos="1404"/>
          <w:tab w:val="left" w:pos="1701"/>
          <w:tab w:val="left" w:pos="2268"/>
          <w:tab w:val="left" w:pos="2880"/>
        </w:tabs>
        <w:spacing w:line="216" w:lineRule="auto"/>
        <w:ind w:left="1701" w:hanging="1701"/>
        <w:jc w:val="both"/>
        <w:rPr>
          <w:rFonts w:ascii="Times New Roman" w:hAnsi="Times New Roman"/>
          <w:spacing w:val="-2"/>
          <w:sz w:val="15"/>
          <w:szCs w:val="15"/>
        </w:rPr>
      </w:pPr>
      <w:r w:rsidRPr="00EB1AFA">
        <w:rPr>
          <w:rFonts w:ascii="Times New Roman" w:hAnsi="Times New Roman"/>
          <w:b/>
          <w:spacing w:val="-2"/>
          <w:sz w:val="15"/>
          <w:szCs w:val="15"/>
        </w:rPr>
        <w:t>Literatur/Aufsätze:</w:t>
      </w:r>
      <w:r w:rsidRPr="00EB1AFA">
        <w:rPr>
          <w:rFonts w:ascii="Times New Roman" w:hAnsi="Times New Roman"/>
          <w:b/>
          <w:spacing w:val="-2"/>
          <w:sz w:val="15"/>
          <w:szCs w:val="15"/>
        </w:rPr>
        <w:tab/>
      </w:r>
      <w:r w:rsidR="007A3791">
        <w:rPr>
          <w:rFonts w:ascii="Times New Roman" w:hAnsi="Times New Roman"/>
          <w:b/>
          <w:spacing w:val="-2"/>
          <w:sz w:val="15"/>
          <w:szCs w:val="15"/>
        </w:rPr>
        <w:tab/>
      </w:r>
      <w:r w:rsidRPr="00EB1AFA">
        <w:rPr>
          <w:rFonts w:ascii="Times New Roman" w:hAnsi="Times New Roman"/>
          <w:i/>
          <w:spacing w:val="-2"/>
          <w:sz w:val="15"/>
          <w:szCs w:val="15"/>
        </w:rPr>
        <w:t>Altmann</w:t>
      </w:r>
      <w:r w:rsidRPr="00EB1AFA">
        <w:rPr>
          <w:rFonts w:ascii="Times New Roman" w:hAnsi="Times New Roman"/>
          <w:spacing w:val="-2"/>
          <w:sz w:val="15"/>
          <w:szCs w:val="15"/>
        </w:rPr>
        <w:t xml:space="preserve">, Die Teilanfechtung von Urteilen im Strafprozess, </w:t>
      </w:r>
      <w:proofErr w:type="spellStart"/>
      <w:r w:rsidRPr="00EB1AFA">
        <w:rPr>
          <w:rFonts w:ascii="Times New Roman" w:hAnsi="Times New Roman"/>
          <w:spacing w:val="-2"/>
          <w:sz w:val="15"/>
          <w:szCs w:val="15"/>
        </w:rPr>
        <w:t>JuS</w:t>
      </w:r>
      <w:proofErr w:type="spellEnd"/>
      <w:r w:rsidRPr="00EB1AFA">
        <w:rPr>
          <w:rFonts w:ascii="Times New Roman" w:hAnsi="Times New Roman"/>
          <w:spacing w:val="-2"/>
          <w:sz w:val="15"/>
          <w:szCs w:val="15"/>
        </w:rPr>
        <w:t xml:space="preserve"> 2008, 790; </w:t>
      </w:r>
      <w:r w:rsidR="00907558" w:rsidRPr="00EB1AFA">
        <w:rPr>
          <w:rFonts w:ascii="Times New Roman" w:hAnsi="Times New Roman"/>
          <w:i/>
          <w:spacing w:val="-2"/>
          <w:sz w:val="15"/>
          <w:szCs w:val="15"/>
        </w:rPr>
        <w:t>Biernat</w:t>
      </w:r>
      <w:r w:rsidR="00907558" w:rsidRPr="00EB1AFA">
        <w:rPr>
          <w:rFonts w:ascii="Times New Roman" w:hAnsi="Times New Roman"/>
          <w:spacing w:val="-2"/>
          <w:sz w:val="15"/>
          <w:szCs w:val="15"/>
        </w:rPr>
        <w:t xml:space="preserve">, Rechtsschutz gegen Zwangsmaßnahmen im Ermittlungsverfahren, </w:t>
      </w:r>
      <w:proofErr w:type="spellStart"/>
      <w:r w:rsidR="00907558" w:rsidRPr="00EB1AFA">
        <w:rPr>
          <w:rFonts w:ascii="Times New Roman" w:hAnsi="Times New Roman"/>
          <w:spacing w:val="-2"/>
          <w:sz w:val="15"/>
          <w:szCs w:val="15"/>
        </w:rPr>
        <w:t>JuS</w:t>
      </w:r>
      <w:proofErr w:type="spellEnd"/>
      <w:r w:rsidR="00907558" w:rsidRPr="00EB1AFA">
        <w:rPr>
          <w:rFonts w:ascii="Times New Roman" w:hAnsi="Times New Roman"/>
          <w:spacing w:val="-2"/>
          <w:sz w:val="15"/>
          <w:szCs w:val="15"/>
        </w:rPr>
        <w:t xml:space="preserve"> 2004, 401; </w:t>
      </w:r>
      <w:r w:rsidR="00AB702B" w:rsidRPr="00AB702B">
        <w:rPr>
          <w:rFonts w:ascii="Times New Roman" w:hAnsi="Times New Roman"/>
          <w:i/>
          <w:spacing w:val="-2"/>
          <w:sz w:val="15"/>
          <w:szCs w:val="15"/>
        </w:rPr>
        <w:t>Bischoff</w:t>
      </w:r>
      <w:r w:rsidR="00AB702B" w:rsidRPr="00AB702B">
        <w:rPr>
          <w:rFonts w:ascii="Times New Roman" w:hAnsi="Times New Roman"/>
          <w:spacing w:val="-2"/>
          <w:sz w:val="15"/>
          <w:szCs w:val="15"/>
        </w:rPr>
        <w:t xml:space="preserve">, </w:t>
      </w:r>
      <w:proofErr w:type="spellStart"/>
      <w:r w:rsidR="00AB702B" w:rsidRPr="00AB702B">
        <w:rPr>
          <w:rFonts w:ascii="Times New Roman" w:hAnsi="Times New Roman"/>
          <w:spacing w:val="-2"/>
          <w:sz w:val="15"/>
          <w:szCs w:val="15"/>
        </w:rPr>
        <w:t>Aus</w:t>
      </w:r>
      <w:proofErr w:type="spellEnd"/>
      <w:r w:rsidR="00AB702B" w:rsidRPr="00AB702B">
        <w:rPr>
          <w:rFonts w:ascii="Times New Roman" w:hAnsi="Times New Roman"/>
          <w:spacing w:val="-2"/>
          <w:sz w:val="15"/>
          <w:szCs w:val="15"/>
        </w:rPr>
        <w:t xml:space="preserve"> der Praxis: Rücknahme und Verzicht bei strafprozessualen Rechtsmitteln, </w:t>
      </w:r>
      <w:proofErr w:type="spellStart"/>
      <w:r w:rsidR="00AB702B" w:rsidRPr="00AB702B">
        <w:rPr>
          <w:rFonts w:ascii="Times New Roman" w:hAnsi="Times New Roman"/>
          <w:spacing w:val="-2"/>
          <w:sz w:val="15"/>
          <w:szCs w:val="15"/>
        </w:rPr>
        <w:t>JuS</w:t>
      </w:r>
      <w:proofErr w:type="spellEnd"/>
      <w:r w:rsidR="00AB702B" w:rsidRPr="00AB702B">
        <w:rPr>
          <w:rFonts w:ascii="Times New Roman" w:hAnsi="Times New Roman"/>
          <w:spacing w:val="-2"/>
          <w:sz w:val="15"/>
          <w:szCs w:val="15"/>
        </w:rPr>
        <w:t xml:space="preserve"> 2018, 670; </w:t>
      </w:r>
      <w:proofErr w:type="spellStart"/>
      <w:r w:rsidRPr="00EB1AFA">
        <w:rPr>
          <w:rFonts w:ascii="Times New Roman" w:hAnsi="Times New Roman"/>
          <w:i/>
          <w:spacing w:val="-2"/>
          <w:sz w:val="15"/>
          <w:szCs w:val="15"/>
        </w:rPr>
        <w:t>Bloy</w:t>
      </w:r>
      <w:proofErr w:type="spellEnd"/>
      <w:r w:rsidRPr="00EB1AFA">
        <w:rPr>
          <w:rFonts w:ascii="Times New Roman" w:hAnsi="Times New Roman"/>
          <w:spacing w:val="-2"/>
          <w:sz w:val="15"/>
          <w:szCs w:val="15"/>
        </w:rPr>
        <w:t xml:space="preserve">, Die Ausgestaltung der Rechtsmittel im deutschen Strafprozessrecht, </w:t>
      </w:r>
      <w:proofErr w:type="spellStart"/>
      <w:r w:rsidRPr="00EB1AFA">
        <w:rPr>
          <w:rFonts w:ascii="Times New Roman" w:hAnsi="Times New Roman"/>
          <w:spacing w:val="-2"/>
          <w:sz w:val="15"/>
          <w:szCs w:val="15"/>
        </w:rPr>
        <w:t>JuS</w:t>
      </w:r>
      <w:proofErr w:type="spellEnd"/>
      <w:r w:rsidRPr="00EB1AFA">
        <w:rPr>
          <w:rFonts w:ascii="Times New Roman" w:hAnsi="Times New Roman"/>
          <w:spacing w:val="-2"/>
          <w:sz w:val="15"/>
          <w:szCs w:val="15"/>
        </w:rPr>
        <w:t xml:space="preserve"> 1986, 585; </w:t>
      </w:r>
      <w:r w:rsidR="00E825EB" w:rsidRPr="00EB1AFA">
        <w:rPr>
          <w:rFonts w:ascii="Times New Roman" w:hAnsi="Times New Roman"/>
          <w:i/>
          <w:spacing w:val="-2"/>
          <w:sz w:val="15"/>
          <w:szCs w:val="15"/>
        </w:rPr>
        <w:t>Burghardt</w:t>
      </w:r>
      <w:r w:rsidR="00E825EB" w:rsidRPr="00EB1AFA">
        <w:rPr>
          <w:rFonts w:ascii="Times New Roman" w:hAnsi="Times New Roman"/>
          <w:spacing w:val="-2"/>
          <w:sz w:val="15"/>
          <w:szCs w:val="15"/>
        </w:rPr>
        <w:t xml:space="preserve">, Der Rechtsschutz gegen Zwangsmittel im Ermittlungsverfahren, </w:t>
      </w:r>
      <w:proofErr w:type="spellStart"/>
      <w:r w:rsidR="00E825EB" w:rsidRPr="00EB1AFA">
        <w:rPr>
          <w:rFonts w:ascii="Times New Roman" w:hAnsi="Times New Roman"/>
          <w:spacing w:val="-2"/>
          <w:sz w:val="15"/>
          <w:szCs w:val="15"/>
        </w:rPr>
        <w:t>JuS</w:t>
      </w:r>
      <w:proofErr w:type="spellEnd"/>
      <w:r w:rsidR="00E825EB" w:rsidRPr="00EB1AFA">
        <w:rPr>
          <w:rFonts w:ascii="Times New Roman" w:hAnsi="Times New Roman"/>
          <w:spacing w:val="-2"/>
          <w:sz w:val="15"/>
          <w:szCs w:val="15"/>
        </w:rPr>
        <w:t xml:space="preserve"> 2010, 606; </w:t>
      </w:r>
      <w:r w:rsidR="00BE3AE5" w:rsidRPr="00EB1AFA">
        <w:rPr>
          <w:rFonts w:ascii="Times New Roman" w:hAnsi="Times New Roman"/>
          <w:i/>
          <w:spacing w:val="-2"/>
          <w:sz w:val="15"/>
          <w:szCs w:val="15"/>
        </w:rPr>
        <w:t>Engländer</w:t>
      </w:r>
      <w:r w:rsidR="00BE3AE5" w:rsidRPr="00EB1AFA">
        <w:rPr>
          <w:rFonts w:ascii="Times New Roman" w:hAnsi="Times New Roman"/>
          <w:spacing w:val="-2"/>
          <w:sz w:val="15"/>
          <w:szCs w:val="15"/>
        </w:rPr>
        <w:t xml:space="preserve">, Die Rechtsbehelfe gegen strafprozessuale Zwangsmaßnahmen, JURA 2010, 414; </w:t>
      </w:r>
      <w:r w:rsidR="00516D1C" w:rsidRPr="00EB1AFA">
        <w:rPr>
          <w:rFonts w:ascii="Times New Roman" w:hAnsi="Times New Roman"/>
          <w:i/>
          <w:spacing w:val="-2"/>
          <w:sz w:val="15"/>
          <w:szCs w:val="15"/>
        </w:rPr>
        <w:t>Knauer</w:t>
      </w:r>
      <w:r w:rsidR="00516D1C" w:rsidRPr="00EB1AFA">
        <w:rPr>
          <w:rFonts w:ascii="Times New Roman" w:hAnsi="Times New Roman"/>
          <w:spacing w:val="-2"/>
          <w:sz w:val="15"/>
          <w:szCs w:val="15"/>
        </w:rPr>
        <w:t xml:space="preserve">, Vom Wesen und Zweck der Revision, NStZ 2016, 1; </w:t>
      </w:r>
      <w:proofErr w:type="spellStart"/>
      <w:r w:rsidRPr="00EB1AFA">
        <w:rPr>
          <w:rFonts w:ascii="Times New Roman" w:hAnsi="Times New Roman"/>
          <w:i/>
          <w:spacing w:val="-2"/>
          <w:sz w:val="15"/>
          <w:szCs w:val="15"/>
        </w:rPr>
        <w:t>Wankel</w:t>
      </w:r>
      <w:proofErr w:type="spellEnd"/>
      <w:r w:rsidRPr="00EB1AFA">
        <w:rPr>
          <w:rFonts w:ascii="Times New Roman" w:hAnsi="Times New Roman"/>
          <w:spacing w:val="-2"/>
          <w:sz w:val="15"/>
          <w:szCs w:val="15"/>
        </w:rPr>
        <w:t>, Rechtsmittel- und Rechtsbehelfsbeschränkung in der StPO, JA 1998, 65</w:t>
      </w:r>
      <w:r w:rsidR="00516D1C" w:rsidRPr="00EB1AFA">
        <w:rPr>
          <w:rFonts w:ascii="Times New Roman" w:hAnsi="Times New Roman"/>
          <w:spacing w:val="-2"/>
          <w:sz w:val="15"/>
          <w:szCs w:val="15"/>
        </w:rPr>
        <w:t xml:space="preserve">; </w:t>
      </w:r>
      <w:r w:rsidRPr="00EB1AFA">
        <w:rPr>
          <w:rFonts w:ascii="Times New Roman" w:hAnsi="Times New Roman"/>
          <w:i/>
          <w:spacing w:val="-2"/>
          <w:sz w:val="15"/>
          <w:szCs w:val="15"/>
        </w:rPr>
        <w:t>Werkmüller</w:t>
      </w:r>
      <w:r w:rsidRPr="00EB1AFA">
        <w:rPr>
          <w:rFonts w:ascii="Times New Roman" w:hAnsi="Times New Roman"/>
          <w:spacing w:val="-2"/>
          <w:sz w:val="15"/>
          <w:szCs w:val="15"/>
        </w:rPr>
        <w:t xml:space="preserve">, Einschränkungsmöglichkeiten von Rechtsmitteln im </w:t>
      </w:r>
      <w:proofErr w:type="spellStart"/>
      <w:r w:rsidRPr="00EB1AFA">
        <w:rPr>
          <w:rFonts w:ascii="Times New Roman" w:hAnsi="Times New Roman"/>
          <w:spacing w:val="-2"/>
          <w:sz w:val="15"/>
          <w:szCs w:val="15"/>
        </w:rPr>
        <w:t>Strafprozeß</w:t>
      </w:r>
      <w:proofErr w:type="spellEnd"/>
      <w:r w:rsidRPr="00EB1AFA">
        <w:rPr>
          <w:rFonts w:ascii="Times New Roman" w:hAnsi="Times New Roman"/>
          <w:spacing w:val="-2"/>
          <w:sz w:val="15"/>
          <w:szCs w:val="15"/>
        </w:rPr>
        <w:t>, JA 2000, 55</w:t>
      </w:r>
      <w:r w:rsidR="00630A53" w:rsidRPr="00EB1AFA">
        <w:rPr>
          <w:rFonts w:ascii="Times New Roman" w:hAnsi="Times New Roman"/>
          <w:spacing w:val="-2"/>
          <w:sz w:val="15"/>
          <w:szCs w:val="15"/>
        </w:rPr>
        <w:t>.</w:t>
      </w:r>
    </w:p>
    <w:p w14:paraId="60DB0333" w14:textId="7DE17F7B" w:rsidR="0075570A" w:rsidRPr="00EB1AFA" w:rsidRDefault="0075570A" w:rsidP="0043715B">
      <w:pPr>
        <w:widowControl/>
        <w:tabs>
          <w:tab w:val="left" w:pos="-720"/>
          <w:tab w:val="left" w:pos="288"/>
          <w:tab w:val="left" w:pos="576"/>
          <w:tab w:val="left" w:pos="864"/>
          <w:tab w:val="left" w:pos="1134"/>
          <w:tab w:val="left" w:pos="1404"/>
          <w:tab w:val="left" w:pos="1692"/>
          <w:tab w:val="left" w:pos="1985"/>
          <w:tab w:val="left" w:pos="2268"/>
          <w:tab w:val="left" w:pos="2880"/>
        </w:tabs>
        <w:spacing w:line="216" w:lineRule="auto"/>
        <w:ind w:left="1701" w:hanging="1701"/>
        <w:jc w:val="both"/>
        <w:rPr>
          <w:rFonts w:ascii="Times New Roman" w:hAnsi="Times New Roman"/>
          <w:spacing w:val="-2"/>
          <w:sz w:val="15"/>
          <w:szCs w:val="15"/>
        </w:rPr>
      </w:pPr>
      <w:r w:rsidRPr="00EB1AFA">
        <w:rPr>
          <w:rFonts w:ascii="Times New Roman" w:hAnsi="Times New Roman"/>
          <w:b/>
          <w:spacing w:val="-2"/>
          <w:sz w:val="15"/>
          <w:szCs w:val="15"/>
        </w:rPr>
        <w:t>Rechtsprechung:</w:t>
      </w:r>
      <w:r w:rsidRPr="00EB1AFA">
        <w:rPr>
          <w:rFonts w:ascii="Times New Roman" w:hAnsi="Times New Roman"/>
          <w:b/>
          <w:spacing w:val="-2"/>
          <w:sz w:val="15"/>
          <w:szCs w:val="15"/>
        </w:rPr>
        <w:tab/>
      </w:r>
      <w:r w:rsidRPr="00EB1AFA">
        <w:rPr>
          <w:rFonts w:ascii="Times New Roman" w:hAnsi="Times New Roman"/>
          <w:b/>
          <w:spacing w:val="-2"/>
          <w:sz w:val="15"/>
          <w:szCs w:val="15"/>
        </w:rPr>
        <w:tab/>
      </w:r>
      <w:r w:rsidRPr="00EB1AFA">
        <w:rPr>
          <w:rFonts w:ascii="Times New Roman" w:hAnsi="Times New Roman"/>
          <w:b/>
          <w:spacing w:val="-2"/>
          <w:sz w:val="15"/>
          <w:szCs w:val="15"/>
        </w:rPr>
        <w:tab/>
        <w:t xml:space="preserve">BGHSt 7, 153 </w:t>
      </w:r>
      <w:r w:rsidRPr="00EB1AFA">
        <w:rPr>
          <w:rFonts w:ascii="Times New Roman" w:hAnsi="Times New Roman"/>
          <w:spacing w:val="-2"/>
          <w:sz w:val="15"/>
          <w:szCs w:val="15"/>
        </w:rPr>
        <w:t xml:space="preserve">– Freispruch (Keine Beschwer bei Freispruch wegen Mangel an Beweisen); </w:t>
      </w:r>
      <w:r w:rsidRPr="00EB1AFA">
        <w:rPr>
          <w:rFonts w:ascii="Times New Roman" w:hAnsi="Times New Roman"/>
          <w:b/>
          <w:spacing w:val="-2"/>
          <w:sz w:val="15"/>
          <w:szCs w:val="15"/>
        </w:rPr>
        <w:t xml:space="preserve">BGHSt 8, 383 </w:t>
      </w:r>
      <w:r w:rsidRPr="00EB1AFA">
        <w:rPr>
          <w:rFonts w:ascii="Times New Roman" w:hAnsi="Times New Roman"/>
          <w:spacing w:val="-2"/>
          <w:sz w:val="15"/>
          <w:szCs w:val="15"/>
        </w:rPr>
        <w:t xml:space="preserve">– „Revision“ (Falsche Form); </w:t>
      </w:r>
      <w:r w:rsidRPr="00EB1AFA">
        <w:rPr>
          <w:rFonts w:ascii="Times New Roman" w:hAnsi="Times New Roman"/>
          <w:b/>
          <w:spacing w:val="-2"/>
          <w:sz w:val="15"/>
          <w:szCs w:val="15"/>
        </w:rPr>
        <w:t xml:space="preserve">BGHSt 10, 100 </w:t>
      </w:r>
      <w:r w:rsidRPr="00EB1AFA">
        <w:rPr>
          <w:rFonts w:ascii="Times New Roman" w:hAnsi="Times New Roman"/>
          <w:spacing w:val="-2"/>
          <w:sz w:val="15"/>
          <w:szCs w:val="15"/>
        </w:rPr>
        <w:t xml:space="preserve">– Unzuständigkeit (Teilanfechtung); </w:t>
      </w:r>
      <w:r w:rsidRPr="00EB1AFA">
        <w:rPr>
          <w:rFonts w:ascii="Times New Roman" w:hAnsi="Times New Roman"/>
          <w:b/>
          <w:spacing w:val="-2"/>
          <w:sz w:val="15"/>
          <w:szCs w:val="15"/>
        </w:rPr>
        <w:t xml:space="preserve">BGHSt 10, 245 </w:t>
      </w:r>
      <w:r w:rsidRPr="00EB1AFA">
        <w:rPr>
          <w:rFonts w:ascii="Times New Roman" w:hAnsi="Times New Roman"/>
          <w:spacing w:val="-2"/>
          <w:sz w:val="15"/>
          <w:szCs w:val="15"/>
        </w:rPr>
        <w:t>– Revisionsrücknahme (Rücknahme eines Rechtsmittels ist unwiderruflich)</w:t>
      </w:r>
      <w:r w:rsidR="003A1DEE" w:rsidRPr="00EB1AFA">
        <w:rPr>
          <w:rFonts w:ascii="Times New Roman" w:hAnsi="Times New Roman"/>
          <w:spacing w:val="-2"/>
          <w:sz w:val="15"/>
          <w:szCs w:val="15"/>
        </w:rPr>
        <w:t>;</w:t>
      </w:r>
      <w:r w:rsidRPr="00EB1AFA">
        <w:rPr>
          <w:rFonts w:ascii="Times New Roman" w:hAnsi="Times New Roman"/>
          <w:spacing w:val="-2"/>
          <w:sz w:val="15"/>
          <w:szCs w:val="15"/>
        </w:rPr>
        <w:t xml:space="preserve"> </w:t>
      </w:r>
      <w:r w:rsidRPr="00EB1AFA">
        <w:rPr>
          <w:rFonts w:ascii="Times New Roman" w:hAnsi="Times New Roman"/>
          <w:b/>
          <w:spacing w:val="-2"/>
          <w:sz w:val="15"/>
          <w:szCs w:val="15"/>
        </w:rPr>
        <w:t xml:space="preserve">BGHSt 11, 319 </w:t>
      </w:r>
      <w:r w:rsidRPr="00EB1AFA">
        <w:rPr>
          <w:rFonts w:ascii="Times New Roman" w:hAnsi="Times New Roman"/>
          <w:spacing w:val="-2"/>
          <w:sz w:val="15"/>
          <w:szCs w:val="15"/>
        </w:rPr>
        <w:t xml:space="preserve">– Zurechnungsunfähigkeit (Verbot der </w:t>
      </w:r>
      <w:proofErr w:type="spellStart"/>
      <w:r w:rsidRPr="00EB1AFA">
        <w:rPr>
          <w:rFonts w:ascii="Times New Roman" w:hAnsi="Times New Roman"/>
          <w:spacing w:val="-2"/>
          <w:sz w:val="15"/>
          <w:szCs w:val="15"/>
        </w:rPr>
        <w:t>reformatio</w:t>
      </w:r>
      <w:proofErr w:type="spellEnd"/>
      <w:r w:rsidRPr="00EB1AFA">
        <w:rPr>
          <w:rFonts w:ascii="Times New Roman" w:hAnsi="Times New Roman"/>
          <w:spacing w:val="-2"/>
          <w:sz w:val="15"/>
          <w:szCs w:val="15"/>
        </w:rPr>
        <w:t xml:space="preserve"> in peius); </w:t>
      </w:r>
      <w:r w:rsidRPr="00EB1AFA">
        <w:rPr>
          <w:rFonts w:ascii="Times New Roman" w:hAnsi="Times New Roman"/>
          <w:b/>
          <w:spacing w:val="-2"/>
          <w:sz w:val="15"/>
          <w:szCs w:val="15"/>
        </w:rPr>
        <w:t xml:space="preserve">BGHSt 14, 5 </w:t>
      </w:r>
      <w:r w:rsidRPr="00EB1AFA">
        <w:rPr>
          <w:rFonts w:ascii="Times New Roman" w:hAnsi="Times New Roman"/>
          <w:spacing w:val="-2"/>
          <w:sz w:val="15"/>
          <w:szCs w:val="15"/>
        </w:rPr>
        <w:t xml:space="preserve">– Gesamtstrafe (Verbot der </w:t>
      </w:r>
      <w:proofErr w:type="spellStart"/>
      <w:r w:rsidRPr="00EB1AFA">
        <w:rPr>
          <w:rFonts w:ascii="Times New Roman" w:hAnsi="Times New Roman"/>
          <w:spacing w:val="-2"/>
          <w:sz w:val="15"/>
          <w:szCs w:val="15"/>
        </w:rPr>
        <w:t>reformatio</w:t>
      </w:r>
      <w:proofErr w:type="spellEnd"/>
      <w:r w:rsidRPr="00EB1AFA">
        <w:rPr>
          <w:rFonts w:ascii="Times New Roman" w:hAnsi="Times New Roman"/>
          <w:spacing w:val="-2"/>
          <w:sz w:val="15"/>
          <w:szCs w:val="15"/>
        </w:rPr>
        <w:t xml:space="preserve"> in peius bei neuer </w:t>
      </w:r>
      <w:proofErr w:type="spellStart"/>
      <w:r w:rsidRPr="00EB1AFA">
        <w:rPr>
          <w:rFonts w:ascii="Times New Roman" w:hAnsi="Times New Roman"/>
          <w:spacing w:val="-2"/>
          <w:sz w:val="15"/>
          <w:szCs w:val="15"/>
        </w:rPr>
        <w:t>Gesamtstrafenbildung</w:t>
      </w:r>
      <w:proofErr w:type="spellEnd"/>
      <w:r w:rsidRPr="00EB1AFA">
        <w:rPr>
          <w:rFonts w:ascii="Times New Roman" w:hAnsi="Times New Roman"/>
          <w:spacing w:val="-2"/>
          <w:sz w:val="15"/>
          <w:szCs w:val="15"/>
        </w:rPr>
        <w:t xml:space="preserve">); </w:t>
      </w:r>
      <w:r w:rsidRPr="00EB1AFA">
        <w:rPr>
          <w:rFonts w:ascii="Times New Roman" w:hAnsi="Times New Roman"/>
          <w:b/>
          <w:spacing w:val="-2"/>
          <w:sz w:val="15"/>
          <w:szCs w:val="15"/>
        </w:rPr>
        <w:t xml:space="preserve">BGHSt 16, 374 </w:t>
      </w:r>
      <w:r w:rsidRPr="00EB1AFA">
        <w:rPr>
          <w:rFonts w:ascii="Times New Roman" w:hAnsi="Times New Roman"/>
          <w:spacing w:val="-2"/>
          <w:sz w:val="15"/>
          <w:szCs w:val="15"/>
        </w:rPr>
        <w:t xml:space="preserve">– Geisteskrankheit (Keine Beschwer bei Freispruch wegen Schuldunfähigkeit); </w:t>
      </w:r>
      <w:r w:rsidRPr="00EB1AFA">
        <w:rPr>
          <w:rFonts w:ascii="Times New Roman" w:hAnsi="Times New Roman"/>
          <w:b/>
          <w:spacing w:val="-2"/>
          <w:sz w:val="15"/>
          <w:szCs w:val="15"/>
        </w:rPr>
        <w:t xml:space="preserve">BGHSt 19, 46 </w:t>
      </w:r>
      <w:r w:rsidRPr="00EB1AFA">
        <w:rPr>
          <w:rFonts w:ascii="Times New Roman" w:hAnsi="Times New Roman"/>
          <w:spacing w:val="-2"/>
          <w:sz w:val="15"/>
          <w:szCs w:val="15"/>
        </w:rPr>
        <w:t xml:space="preserve">– Trunkenheit (Teilanfechtung, Strafmaß); </w:t>
      </w:r>
      <w:r w:rsidRPr="00EB1AFA">
        <w:rPr>
          <w:rFonts w:ascii="Times New Roman" w:hAnsi="Times New Roman"/>
          <w:b/>
          <w:spacing w:val="-2"/>
          <w:sz w:val="15"/>
          <w:szCs w:val="15"/>
        </w:rPr>
        <w:t>BGHSt 25, 242</w:t>
      </w:r>
      <w:r w:rsidRPr="00EB1AFA">
        <w:rPr>
          <w:rFonts w:ascii="Times New Roman" w:hAnsi="Times New Roman"/>
          <w:spacing w:val="-2"/>
          <w:sz w:val="15"/>
          <w:szCs w:val="15"/>
        </w:rPr>
        <w:t xml:space="preserve"> – Unzuständigkeitserklärung (Falsche Form der Entscheidung); </w:t>
      </w:r>
      <w:r w:rsidRPr="00EB1AFA">
        <w:rPr>
          <w:rFonts w:ascii="Times New Roman" w:hAnsi="Times New Roman"/>
          <w:b/>
          <w:spacing w:val="-2"/>
          <w:sz w:val="15"/>
          <w:szCs w:val="15"/>
        </w:rPr>
        <w:t xml:space="preserve">BGHSt 28, 327 </w:t>
      </w:r>
      <w:r w:rsidRPr="00EB1AFA">
        <w:rPr>
          <w:rFonts w:ascii="Times New Roman" w:hAnsi="Times New Roman"/>
          <w:spacing w:val="-2"/>
          <w:sz w:val="15"/>
          <w:szCs w:val="15"/>
        </w:rPr>
        <w:t xml:space="preserve">– Unterbringung (Unzulässigkeit des Rechtsmittels mangels Beschwer); </w:t>
      </w:r>
      <w:r w:rsidRPr="00EB1AFA">
        <w:rPr>
          <w:rFonts w:ascii="Times New Roman" w:hAnsi="Times New Roman"/>
          <w:b/>
          <w:spacing w:val="-2"/>
          <w:sz w:val="15"/>
          <w:szCs w:val="15"/>
        </w:rPr>
        <w:t>BGHSt 45, 51</w:t>
      </w:r>
      <w:r w:rsidRPr="00EB1AFA">
        <w:rPr>
          <w:rFonts w:ascii="Times New Roman" w:hAnsi="Times New Roman"/>
          <w:spacing w:val="-2"/>
          <w:sz w:val="15"/>
          <w:szCs w:val="15"/>
        </w:rPr>
        <w:t xml:space="preserve"> – Rechtsmittelverzicht (Wirksamkeit der Verzichtserklärung); </w:t>
      </w:r>
      <w:r w:rsidRPr="00EB1AFA">
        <w:rPr>
          <w:rFonts w:ascii="Times New Roman" w:hAnsi="Times New Roman"/>
          <w:b/>
          <w:spacing w:val="-2"/>
          <w:sz w:val="15"/>
          <w:szCs w:val="15"/>
        </w:rPr>
        <w:t xml:space="preserve">BGHSt 47, 32 </w:t>
      </w:r>
      <w:r w:rsidRPr="00EB1AFA">
        <w:rPr>
          <w:rFonts w:ascii="Times New Roman" w:hAnsi="Times New Roman"/>
          <w:spacing w:val="-2"/>
          <w:sz w:val="15"/>
          <w:szCs w:val="15"/>
        </w:rPr>
        <w:t>– Bewährungsfrage (Teilanfechtung bei doppelrelevanten Feststellungen)</w:t>
      </w:r>
      <w:r w:rsidR="00630A53" w:rsidRPr="00EB1AFA">
        <w:rPr>
          <w:rFonts w:ascii="Times New Roman" w:hAnsi="Times New Roman"/>
          <w:spacing w:val="-2"/>
          <w:sz w:val="15"/>
          <w:szCs w:val="15"/>
        </w:rPr>
        <w:t xml:space="preserve">; </w:t>
      </w:r>
      <w:r w:rsidR="00630A53" w:rsidRPr="00EB1AFA">
        <w:rPr>
          <w:rFonts w:ascii="Times New Roman" w:hAnsi="Times New Roman"/>
          <w:b/>
          <w:spacing w:val="-2"/>
          <w:sz w:val="15"/>
          <w:szCs w:val="15"/>
        </w:rPr>
        <w:t>BGH NJW 2016, 728</w:t>
      </w:r>
      <w:r w:rsidR="00630A53" w:rsidRPr="00EB1AFA">
        <w:rPr>
          <w:rFonts w:ascii="Times New Roman" w:hAnsi="Times New Roman"/>
          <w:spacing w:val="-2"/>
          <w:sz w:val="15"/>
          <w:szCs w:val="15"/>
        </w:rPr>
        <w:t xml:space="preserve"> – </w:t>
      </w:r>
      <w:r w:rsidR="00810771" w:rsidRPr="00EB1AFA">
        <w:rPr>
          <w:rFonts w:ascii="Times New Roman" w:hAnsi="Times New Roman"/>
          <w:spacing w:val="-2"/>
          <w:sz w:val="15"/>
          <w:szCs w:val="15"/>
        </w:rPr>
        <w:t xml:space="preserve">Fall Mollath </w:t>
      </w:r>
      <w:r w:rsidR="00630A53" w:rsidRPr="00EB1AFA">
        <w:rPr>
          <w:rFonts w:ascii="Times New Roman" w:hAnsi="Times New Roman"/>
          <w:spacing w:val="-2"/>
          <w:sz w:val="15"/>
          <w:szCs w:val="15"/>
        </w:rPr>
        <w:t>(</w:t>
      </w:r>
      <w:r w:rsidR="00810771" w:rsidRPr="00EB1AFA">
        <w:rPr>
          <w:rFonts w:ascii="Times New Roman" w:hAnsi="Times New Roman"/>
          <w:spacing w:val="-2"/>
          <w:sz w:val="15"/>
          <w:szCs w:val="15"/>
        </w:rPr>
        <w:t>Unzulässige Revision des Angeklagten n</w:t>
      </w:r>
      <w:r w:rsidR="00824AA3" w:rsidRPr="00EB1AFA">
        <w:rPr>
          <w:rFonts w:ascii="Times New Roman" w:hAnsi="Times New Roman"/>
          <w:spacing w:val="-2"/>
          <w:sz w:val="15"/>
          <w:szCs w:val="15"/>
        </w:rPr>
        <w:t xml:space="preserve">ach Freispruch); </w:t>
      </w:r>
      <w:r w:rsidR="00824AA3" w:rsidRPr="00EB1AFA">
        <w:rPr>
          <w:rFonts w:ascii="Times New Roman" w:hAnsi="Times New Roman"/>
          <w:b/>
          <w:spacing w:val="-2"/>
          <w:sz w:val="15"/>
          <w:szCs w:val="15"/>
        </w:rPr>
        <w:t>BGH NJW 2019, 1008</w:t>
      </w:r>
      <w:r w:rsidR="00824AA3" w:rsidRPr="00EB1AFA">
        <w:rPr>
          <w:rFonts w:ascii="Times New Roman" w:hAnsi="Times New Roman"/>
          <w:spacing w:val="-2"/>
          <w:sz w:val="15"/>
          <w:szCs w:val="15"/>
        </w:rPr>
        <w:t xml:space="preserve"> – Einziehung in der Rechtsmittelinstanz (Schlechterstellungsverbot)</w:t>
      </w:r>
      <w:r w:rsidR="000C5D00">
        <w:rPr>
          <w:rFonts w:ascii="Times New Roman" w:hAnsi="Times New Roman"/>
          <w:spacing w:val="-2"/>
          <w:sz w:val="15"/>
          <w:szCs w:val="15"/>
        </w:rPr>
        <w:t xml:space="preserve">; </w:t>
      </w:r>
      <w:r w:rsidR="000C5D00">
        <w:rPr>
          <w:rFonts w:ascii="Times New Roman" w:hAnsi="Times New Roman"/>
          <w:b/>
          <w:bCs/>
          <w:spacing w:val="-2"/>
          <w:sz w:val="15"/>
          <w:szCs w:val="15"/>
        </w:rPr>
        <w:t xml:space="preserve">BGH NStZ 2023, 176 </w:t>
      </w:r>
      <w:r w:rsidR="000C5D00">
        <w:rPr>
          <w:rFonts w:ascii="Times New Roman" w:hAnsi="Times New Roman"/>
          <w:spacing w:val="-2"/>
          <w:sz w:val="15"/>
          <w:szCs w:val="15"/>
        </w:rPr>
        <w:t>– Konkurrenz zwischen mehreren Rechtsmitteln</w:t>
      </w:r>
      <w:r w:rsidR="007F4367">
        <w:rPr>
          <w:rFonts w:ascii="Times New Roman" w:hAnsi="Times New Roman"/>
          <w:spacing w:val="-2"/>
          <w:sz w:val="15"/>
          <w:szCs w:val="15"/>
        </w:rPr>
        <w:t xml:space="preserve"> (verschiedene Rechtsmittel unterschiedlicher Angeklagter gegen dasselbe Urteil)</w:t>
      </w:r>
      <w:r w:rsidR="006561F5">
        <w:rPr>
          <w:rFonts w:ascii="Times New Roman" w:hAnsi="Times New Roman"/>
          <w:spacing w:val="-2"/>
          <w:sz w:val="15"/>
          <w:szCs w:val="15"/>
        </w:rPr>
        <w:t xml:space="preserve">; </w:t>
      </w:r>
      <w:r w:rsidR="006561F5" w:rsidRPr="003D2F82">
        <w:rPr>
          <w:rFonts w:ascii="Times New Roman" w:hAnsi="Times New Roman"/>
          <w:b/>
          <w:bCs/>
          <w:spacing w:val="-2"/>
          <w:sz w:val="15"/>
          <w:szCs w:val="15"/>
        </w:rPr>
        <w:t>BGH BeckRS 2024, 21010</w:t>
      </w:r>
      <w:r w:rsidR="006561F5">
        <w:rPr>
          <w:rFonts w:ascii="Times New Roman" w:hAnsi="Times New Roman"/>
          <w:spacing w:val="-2"/>
          <w:sz w:val="15"/>
          <w:szCs w:val="15"/>
        </w:rPr>
        <w:t xml:space="preserve"> – </w:t>
      </w:r>
      <w:r w:rsidR="007F4367">
        <w:rPr>
          <w:rFonts w:ascii="Times New Roman" w:hAnsi="Times New Roman"/>
          <w:spacing w:val="-2"/>
          <w:sz w:val="15"/>
          <w:szCs w:val="15"/>
        </w:rPr>
        <w:t>Revisionseinlegung (</w:t>
      </w:r>
      <w:r w:rsidR="006561F5">
        <w:rPr>
          <w:rFonts w:ascii="Times New Roman" w:hAnsi="Times New Roman"/>
          <w:spacing w:val="-2"/>
          <w:sz w:val="15"/>
          <w:szCs w:val="15"/>
        </w:rPr>
        <w:t xml:space="preserve">Wiedereinsetzung nach Formfehler des Verteidigers bei </w:t>
      </w:r>
      <w:proofErr w:type="spellStart"/>
      <w:r w:rsidR="006561F5">
        <w:rPr>
          <w:rFonts w:ascii="Times New Roman" w:hAnsi="Times New Roman"/>
          <w:spacing w:val="-2"/>
          <w:sz w:val="15"/>
          <w:szCs w:val="15"/>
        </w:rPr>
        <w:t>beA</w:t>
      </w:r>
      <w:proofErr w:type="spellEnd"/>
      <w:r w:rsidR="006561F5">
        <w:rPr>
          <w:rFonts w:ascii="Times New Roman" w:hAnsi="Times New Roman"/>
          <w:spacing w:val="-2"/>
          <w:sz w:val="15"/>
          <w:szCs w:val="15"/>
        </w:rPr>
        <w:t>-Nutzung zur Revisionseinlegung</w:t>
      </w:r>
      <w:r w:rsidR="007F4367">
        <w:rPr>
          <w:rFonts w:ascii="Times New Roman" w:hAnsi="Times New Roman"/>
          <w:spacing w:val="-2"/>
          <w:sz w:val="15"/>
          <w:szCs w:val="15"/>
        </w:rPr>
        <w:t>)</w:t>
      </w:r>
      <w:r w:rsidR="006561F5">
        <w:rPr>
          <w:rFonts w:ascii="Times New Roman" w:hAnsi="Times New Roman"/>
          <w:spacing w:val="-2"/>
          <w:sz w:val="15"/>
          <w:szCs w:val="15"/>
        </w:rPr>
        <w:t>.</w:t>
      </w:r>
    </w:p>
    <w:sectPr w:rsidR="0075570A" w:rsidRPr="00EB1AFA">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2F50" w14:textId="77777777" w:rsidR="005D0AF0" w:rsidRDefault="005D0AF0">
      <w:pPr>
        <w:widowControl/>
        <w:spacing w:line="-20" w:lineRule="auto"/>
      </w:pPr>
    </w:p>
  </w:endnote>
  <w:endnote w:type="continuationSeparator" w:id="0">
    <w:p w14:paraId="6730AF07" w14:textId="77777777" w:rsidR="005D0AF0" w:rsidRDefault="005D0AF0">
      <w:r>
        <w:t xml:space="preserve"> </w:t>
      </w:r>
    </w:p>
  </w:endnote>
  <w:endnote w:type="continuationNotice" w:id="1">
    <w:p w14:paraId="08D7BDD6" w14:textId="77777777" w:rsidR="005D0AF0" w:rsidRDefault="005D0A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62534" w14:textId="77777777" w:rsidR="005D0AF0" w:rsidRDefault="005D0AF0">
      <w:r>
        <w:separator/>
      </w:r>
    </w:p>
  </w:footnote>
  <w:footnote w:type="continuationSeparator" w:id="0">
    <w:p w14:paraId="43627063" w14:textId="77777777" w:rsidR="005D0AF0" w:rsidRDefault="005D0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37CA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50A90"/>
    <w:multiLevelType w:val="singleLevel"/>
    <w:tmpl w:val="CFD0FEE6"/>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2" w15:restartNumberingAfterBreak="0">
    <w:nsid w:val="181102ED"/>
    <w:multiLevelType w:val="singleLevel"/>
    <w:tmpl w:val="B7E8B7C6"/>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3" w15:restartNumberingAfterBreak="0">
    <w:nsid w:val="4A8175C9"/>
    <w:multiLevelType w:val="singleLevel"/>
    <w:tmpl w:val="E8A21922"/>
    <w:lvl w:ilvl="0">
      <w:start w:val="5"/>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5C0B59EC"/>
    <w:multiLevelType w:val="hybridMultilevel"/>
    <w:tmpl w:val="4A4EEB70"/>
    <w:lvl w:ilvl="0" w:tplc="E84C3C3C">
      <w:start w:val="1"/>
      <w:numFmt w:val="decimal"/>
      <w:lvlText w:val="%1."/>
      <w:lvlJc w:val="left"/>
      <w:pPr>
        <w:ind w:left="640" w:hanging="360"/>
      </w:pPr>
      <w:rPr>
        <w:rFonts w:hint="default"/>
      </w:rPr>
    </w:lvl>
    <w:lvl w:ilvl="1" w:tplc="04070019" w:tentative="1">
      <w:start w:val="1"/>
      <w:numFmt w:val="lowerLetter"/>
      <w:lvlText w:val="%2."/>
      <w:lvlJc w:val="left"/>
      <w:pPr>
        <w:ind w:left="1360" w:hanging="360"/>
      </w:pPr>
    </w:lvl>
    <w:lvl w:ilvl="2" w:tplc="0407001B" w:tentative="1">
      <w:start w:val="1"/>
      <w:numFmt w:val="lowerRoman"/>
      <w:lvlText w:val="%3."/>
      <w:lvlJc w:val="right"/>
      <w:pPr>
        <w:ind w:left="2080" w:hanging="180"/>
      </w:pPr>
    </w:lvl>
    <w:lvl w:ilvl="3" w:tplc="0407000F" w:tentative="1">
      <w:start w:val="1"/>
      <w:numFmt w:val="decimal"/>
      <w:lvlText w:val="%4."/>
      <w:lvlJc w:val="left"/>
      <w:pPr>
        <w:ind w:left="2800" w:hanging="360"/>
      </w:pPr>
    </w:lvl>
    <w:lvl w:ilvl="4" w:tplc="04070019" w:tentative="1">
      <w:start w:val="1"/>
      <w:numFmt w:val="lowerLetter"/>
      <w:lvlText w:val="%5."/>
      <w:lvlJc w:val="left"/>
      <w:pPr>
        <w:ind w:left="3520" w:hanging="360"/>
      </w:pPr>
    </w:lvl>
    <w:lvl w:ilvl="5" w:tplc="0407001B" w:tentative="1">
      <w:start w:val="1"/>
      <w:numFmt w:val="lowerRoman"/>
      <w:lvlText w:val="%6."/>
      <w:lvlJc w:val="right"/>
      <w:pPr>
        <w:ind w:left="4240" w:hanging="180"/>
      </w:pPr>
    </w:lvl>
    <w:lvl w:ilvl="6" w:tplc="0407000F" w:tentative="1">
      <w:start w:val="1"/>
      <w:numFmt w:val="decimal"/>
      <w:lvlText w:val="%7."/>
      <w:lvlJc w:val="left"/>
      <w:pPr>
        <w:ind w:left="4960" w:hanging="360"/>
      </w:pPr>
    </w:lvl>
    <w:lvl w:ilvl="7" w:tplc="04070019" w:tentative="1">
      <w:start w:val="1"/>
      <w:numFmt w:val="lowerLetter"/>
      <w:lvlText w:val="%8."/>
      <w:lvlJc w:val="left"/>
      <w:pPr>
        <w:ind w:left="5680" w:hanging="360"/>
      </w:pPr>
    </w:lvl>
    <w:lvl w:ilvl="8" w:tplc="0407001B" w:tentative="1">
      <w:start w:val="1"/>
      <w:numFmt w:val="lowerRoman"/>
      <w:lvlText w:val="%9."/>
      <w:lvlJc w:val="right"/>
      <w:pPr>
        <w:ind w:left="6400" w:hanging="180"/>
      </w:pPr>
    </w:lvl>
  </w:abstractNum>
  <w:num w:numId="1" w16cid:durableId="1041636416">
    <w:abstractNumId w:val="1"/>
  </w:num>
  <w:num w:numId="2" w16cid:durableId="172184862">
    <w:abstractNumId w:val="2"/>
  </w:num>
  <w:num w:numId="3" w16cid:durableId="1041057697">
    <w:abstractNumId w:val="3"/>
  </w:num>
  <w:num w:numId="4" w16cid:durableId="1752117990">
    <w:abstractNumId w:val="0"/>
  </w:num>
  <w:num w:numId="5" w16cid:durableId="124834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proofState w:spelling="clean" w:grammar="clean"/>
  <w:attachedTemplate r:id="rId1"/>
  <w:trackRevisions/>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C8"/>
    <w:rsid w:val="00031124"/>
    <w:rsid w:val="00072327"/>
    <w:rsid w:val="00092B75"/>
    <w:rsid w:val="00092D3C"/>
    <w:rsid w:val="000C5D00"/>
    <w:rsid w:val="000E2ECE"/>
    <w:rsid w:val="001301C4"/>
    <w:rsid w:val="00133CA1"/>
    <w:rsid w:val="00173AD6"/>
    <w:rsid w:val="001C327C"/>
    <w:rsid w:val="001D15AD"/>
    <w:rsid w:val="001D6A16"/>
    <w:rsid w:val="001E30A3"/>
    <w:rsid w:val="00215A72"/>
    <w:rsid w:val="00234EA0"/>
    <w:rsid w:val="002373AB"/>
    <w:rsid w:val="00241243"/>
    <w:rsid w:val="0024657A"/>
    <w:rsid w:val="002466B8"/>
    <w:rsid w:val="002709EC"/>
    <w:rsid w:val="00275E39"/>
    <w:rsid w:val="002A305F"/>
    <w:rsid w:val="002A388F"/>
    <w:rsid w:val="002A4791"/>
    <w:rsid w:val="002A5073"/>
    <w:rsid w:val="00312FE2"/>
    <w:rsid w:val="00372655"/>
    <w:rsid w:val="00391029"/>
    <w:rsid w:val="003A1DEE"/>
    <w:rsid w:val="003D2F82"/>
    <w:rsid w:val="003D72A5"/>
    <w:rsid w:val="003E1242"/>
    <w:rsid w:val="003E67A2"/>
    <w:rsid w:val="0040105F"/>
    <w:rsid w:val="0043360A"/>
    <w:rsid w:val="0043715B"/>
    <w:rsid w:val="004469C1"/>
    <w:rsid w:val="00446D80"/>
    <w:rsid w:val="004B7BAE"/>
    <w:rsid w:val="00516D1C"/>
    <w:rsid w:val="0053787B"/>
    <w:rsid w:val="005769E8"/>
    <w:rsid w:val="00581679"/>
    <w:rsid w:val="005921ED"/>
    <w:rsid w:val="005D0AF0"/>
    <w:rsid w:val="005D131C"/>
    <w:rsid w:val="005D423E"/>
    <w:rsid w:val="005D42CA"/>
    <w:rsid w:val="00602F7E"/>
    <w:rsid w:val="0060692D"/>
    <w:rsid w:val="00606FCF"/>
    <w:rsid w:val="00630A53"/>
    <w:rsid w:val="006561F5"/>
    <w:rsid w:val="006739F0"/>
    <w:rsid w:val="00680454"/>
    <w:rsid w:val="006D5A5A"/>
    <w:rsid w:val="006E5073"/>
    <w:rsid w:val="006F46C8"/>
    <w:rsid w:val="00701B60"/>
    <w:rsid w:val="00727729"/>
    <w:rsid w:val="00733415"/>
    <w:rsid w:val="0075570A"/>
    <w:rsid w:val="0077656E"/>
    <w:rsid w:val="00784045"/>
    <w:rsid w:val="007A3791"/>
    <w:rsid w:val="007F4367"/>
    <w:rsid w:val="007F6F7B"/>
    <w:rsid w:val="00800D45"/>
    <w:rsid w:val="00810771"/>
    <w:rsid w:val="0081174D"/>
    <w:rsid w:val="00824AA3"/>
    <w:rsid w:val="008532C4"/>
    <w:rsid w:val="0085662F"/>
    <w:rsid w:val="008979FE"/>
    <w:rsid w:val="008E7F68"/>
    <w:rsid w:val="008F2B0A"/>
    <w:rsid w:val="00907558"/>
    <w:rsid w:val="00911D86"/>
    <w:rsid w:val="009356F6"/>
    <w:rsid w:val="0097251A"/>
    <w:rsid w:val="00A71499"/>
    <w:rsid w:val="00AB702B"/>
    <w:rsid w:val="00AE1D0D"/>
    <w:rsid w:val="00AF6F58"/>
    <w:rsid w:val="00B72EEB"/>
    <w:rsid w:val="00BD552A"/>
    <w:rsid w:val="00BE3AE5"/>
    <w:rsid w:val="00C233C1"/>
    <w:rsid w:val="00C314EC"/>
    <w:rsid w:val="00C34923"/>
    <w:rsid w:val="00C35AB2"/>
    <w:rsid w:val="00C71CE6"/>
    <w:rsid w:val="00CE599C"/>
    <w:rsid w:val="00D37833"/>
    <w:rsid w:val="00D46214"/>
    <w:rsid w:val="00D93AB2"/>
    <w:rsid w:val="00DA483C"/>
    <w:rsid w:val="00DC7CD9"/>
    <w:rsid w:val="00DD3EEC"/>
    <w:rsid w:val="00E2199D"/>
    <w:rsid w:val="00E825EB"/>
    <w:rsid w:val="00E94791"/>
    <w:rsid w:val="00EB1AFA"/>
    <w:rsid w:val="00EC65BC"/>
    <w:rsid w:val="00F024C2"/>
    <w:rsid w:val="00F32032"/>
    <w:rsid w:val="00F512C9"/>
    <w:rsid w:val="00F54C07"/>
    <w:rsid w:val="00F61A81"/>
    <w:rsid w:val="00F63EC9"/>
    <w:rsid w:val="00F74C04"/>
    <w:rsid w:val="00FB3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0645A"/>
  <w15:chartTrackingRefBased/>
  <w15:docId w15:val="{F37D647F-2B1A-4BB0-B736-1B9EF469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054DCA"/>
    <w:rPr>
      <w:rFonts w:ascii="Tahoma" w:hAnsi="Tahoma" w:cs="Tahoma"/>
      <w:sz w:val="16"/>
      <w:szCs w:val="16"/>
    </w:rPr>
  </w:style>
  <w:style w:type="paragraph" w:styleId="berarbeitung">
    <w:name w:val="Revision"/>
    <w:hidden/>
    <w:uiPriority w:val="71"/>
    <w:rsid w:val="00CE599C"/>
    <w:rPr>
      <w:rFonts w:ascii="Dutch Roman 12pt" w:hAnsi="Dutch Roman 12pt"/>
      <w:sz w:val="24"/>
    </w:rPr>
  </w:style>
  <w:style w:type="paragraph" w:styleId="Listenabsatz">
    <w:name w:val="List Paragraph"/>
    <w:basedOn w:val="Standard"/>
    <w:uiPriority w:val="72"/>
    <w:qFormat/>
    <w:rsid w:val="007F6F7B"/>
    <w:pPr>
      <w:ind w:left="720"/>
      <w:contextualSpacing/>
    </w:pPr>
  </w:style>
  <w:style w:type="character" w:styleId="Kommentarzeichen">
    <w:name w:val="annotation reference"/>
    <w:basedOn w:val="Absatz-Standardschriftart"/>
    <w:uiPriority w:val="99"/>
    <w:semiHidden/>
    <w:unhideWhenUsed/>
    <w:rsid w:val="007F6F7B"/>
    <w:rPr>
      <w:sz w:val="16"/>
      <w:szCs w:val="16"/>
    </w:rPr>
  </w:style>
  <w:style w:type="paragraph" w:styleId="Kommentartext">
    <w:name w:val="annotation text"/>
    <w:basedOn w:val="Standard"/>
    <w:link w:val="KommentartextZchn"/>
    <w:uiPriority w:val="99"/>
    <w:semiHidden/>
    <w:unhideWhenUsed/>
    <w:rsid w:val="007F6F7B"/>
    <w:rPr>
      <w:sz w:val="20"/>
    </w:rPr>
  </w:style>
  <w:style w:type="character" w:customStyle="1" w:styleId="KommentartextZchn">
    <w:name w:val="Kommentartext Zchn"/>
    <w:basedOn w:val="Absatz-Standardschriftart"/>
    <w:link w:val="Kommentartext"/>
    <w:uiPriority w:val="99"/>
    <w:semiHidden/>
    <w:rsid w:val="007F6F7B"/>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7F6F7B"/>
    <w:rPr>
      <w:b/>
      <w:bCs/>
    </w:rPr>
  </w:style>
  <w:style w:type="character" w:customStyle="1" w:styleId="KommentarthemaZchn">
    <w:name w:val="Kommentarthema Zchn"/>
    <w:basedOn w:val="KommentartextZchn"/>
    <w:link w:val="Kommentarthema"/>
    <w:uiPriority w:val="99"/>
    <w:semiHidden/>
    <w:rsid w:val="007F6F7B"/>
    <w:rPr>
      <w:rFonts w:ascii="Dutch Roman 12pt" w:hAnsi="Dutch Roman 12p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ebsite\StPO-&#220;bersichten\StPO-&#220;bersichten%202023\42-rechtsbehelfe%202022%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25B2C-BA2B-4C0D-859C-82EB5874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E:\Website\StPO-Übersichten\StPO-Übersichten 2023\42-rechtsbehelfe 2022 .dotx</Template>
  <TotalTime>0</TotalTime>
  <Pages>1</Pages>
  <Words>1109</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Anna Rappl</dc:creator>
  <cp:keywords/>
  <dc:description/>
  <cp:lastModifiedBy>Tobias Reinbacher</cp:lastModifiedBy>
  <cp:revision>4</cp:revision>
  <cp:lastPrinted>2020-10-23T16:02:00Z</cp:lastPrinted>
  <dcterms:created xsi:type="dcterms:W3CDTF">2024-10-10T15:21:00Z</dcterms:created>
  <dcterms:modified xsi:type="dcterms:W3CDTF">2024-10-14T10:30:00Z</dcterms:modified>
</cp:coreProperties>
</file>