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FE59A" w14:textId="749F85AB" w:rsidR="00752D8D" w:rsidRDefault="00752D8D" w:rsidP="00FC64B0">
      <w:pPr>
        <w:tabs>
          <w:tab w:val="right" w:pos="10206"/>
        </w:tabs>
        <w:jc w:val="both"/>
        <w:rPr>
          <w:spacing w:val="-3"/>
        </w:rPr>
      </w:pPr>
      <w:r>
        <w:rPr>
          <w:b/>
          <w:spacing w:val="-3"/>
        </w:rPr>
        <w:t xml:space="preserve">Prof. Dr. </w:t>
      </w:r>
      <w:r w:rsidR="003453A2">
        <w:rPr>
          <w:b/>
          <w:spacing w:val="-3"/>
        </w:rPr>
        <w:t xml:space="preserve">Dr. h.c. </w:t>
      </w:r>
      <w:r>
        <w:rPr>
          <w:b/>
          <w:spacing w:val="-3"/>
        </w:rPr>
        <w:t>Bernd Heinrich/</w:t>
      </w:r>
      <w:r w:rsidR="00C10405">
        <w:rPr>
          <w:b/>
          <w:spacing w:val="-3"/>
        </w:rPr>
        <w:t>Pr</w:t>
      </w:r>
      <w:r w:rsidR="00227510">
        <w:rPr>
          <w:b/>
          <w:spacing w:val="-3"/>
        </w:rPr>
        <w:t>of</w:t>
      </w:r>
      <w:r w:rsidR="00C10405">
        <w:rPr>
          <w:b/>
          <w:spacing w:val="-3"/>
        </w:rPr>
        <w:t xml:space="preserve">. </w:t>
      </w:r>
      <w:r>
        <w:rPr>
          <w:b/>
          <w:spacing w:val="-3"/>
        </w:rPr>
        <w:t>Dr. Tobias Reinbacher</w:t>
      </w:r>
      <w:r>
        <w:rPr>
          <w:b/>
          <w:spacing w:val="-3"/>
        </w:rPr>
        <w:tab/>
        <w:t xml:space="preserve">Stand: 1. </w:t>
      </w:r>
      <w:r w:rsidR="00D457D6">
        <w:rPr>
          <w:b/>
          <w:spacing w:val="-3"/>
        </w:rPr>
        <w:t>Oktober</w:t>
      </w:r>
      <w:r w:rsidR="003D264A">
        <w:rPr>
          <w:b/>
          <w:spacing w:val="-3"/>
        </w:rPr>
        <w:t xml:space="preserve"> </w:t>
      </w:r>
      <w:r w:rsidR="000F59E5">
        <w:rPr>
          <w:b/>
          <w:spacing w:val="-3"/>
        </w:rPr>
        <w:t>20</w:t>
      </w:r>
      <w:r w:rsidR="00CD0E7A">
        <w:rPr>
          <w:b/>
          <w:spacing w:val="-3"/>
        </w:rPr>
        <w:t>2</w:t>
      </w:r>
      <w:r w:rsidR="004D11D3">
        <w:rPr>
          <w:b/>
          <w:spacing w:val="-3"/>
        </w:rPr>
        <w:t>4</w:t>
      </w:r>
    </w:p>
    <w:p w14:paraId="6E67F7F8" w14:textId="54363001" w:rsidR="00752D8D" w:rsidRDefault="00752D8D" w:rsidP="00752D8D">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3"/>
        </w:rPr>
      </w:pPr>
      <w:r>
        <w:rPr>
          <w:b/>
          <w:spacing w:val="-3"/>
        </w:rPr>
        <w:t>Examinatorium Strafprozessrecht – Arbeitsblatt Nr.</w:t>
      </w:r>
      <w:r w:rsidR="005939DF">
        <w:rPr>
          <w:b/>
          <w:spacing w:val="-3"/>
        </w:rPr>
        <w:t> </w:t>
      </w:r>
      <w:r>
        <w:rPr>
          <w:b/>
          <w:spacing w:val="-3"/>
        </w:rPr>
        <w:t>44</w:t>
      </w:r>
    </w:p>
    <w:p w14:paraId="25A0D9AF" w14:textId="77777777" w:rsidR="00752D8D" w:rsidRPr="00FC64B0" w:rsidRDefault="00752D8D" w:rsidP="00752D8D">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7"/>
          <w:sz w:val="52"/>
          <w:szCs w:val="52"/>
        </w:rPr>
      </w:pPr>
      <w:r w:rsidRPr="00FC64B0">
        <w:rPr>
          <w:b/>
          <w:spacing w:val="-7"/>
          <w:sz w:val="52"/>
          <w:szCs w:val="52"/>
        </w:rPr>
        <w:t>Die Berufung, §§ 312 ff. StPO</w:t>
      </w:r>
    </w:p>
    <w:p w14:paraId="26CBDA54" w14:textId="77777777" w:rsidR="00752D8D" w:rsidRDefault="00752D8D">
      <w:pPr>
        <w:pStyle w:val="Beschriftung"/>
        <w:framePr w:w="9726" w:h="1417" w:hSpace="240" w:vSpace="120" w:wrap="auto" w:vAnchor="text" w:hAnchor="margin" w:x="241" w:y="121"/>
        <w:widowControl/>
        <w:pBdr>
          <w:top w:val="single" w:sz="12" w:space="11" w:color="auto" w:shadow="1"/>
          <w:left w:val="single" w:sz="12" w:space="11" w:color="auto" w:shadow="1"/>
          <w:bottom w:val="single" w:sz="12" w:space="11" w:color="auto" w:shadow="1"/>
          <w:right w:val="single" w:sz="12" w:space="11" w:color="auto" w:shadow="1"/>
        </w:pBdr>
        <w:shd w:val="pct10" w:color="auto" w:fill="auto"/>
        <w:tabs>
          <w:tab w:val="left" w:pos="-720"/>
        </w:tabs>
        <w:spacing w:line="-1" w:lineRule="auto"/>
        <w:jc w:val="both"/>
        <w:rPr>
          <w:rFonts w:ascii="Times New Roman" w:hAnsi="Times New Roman"/>
          <w:vanish/>
          <w:spacing w:val="-7"/>
          <w:sz w:val="60"/>
        </w:rPr>
      </w:pPr>
      <w:r>
        <w:rPr>
          <w:rFonts w:ascii="Times New Roman" w:hAnsi="Times New Roman"/>
          <w:vanish/>
          <w:spacing w:val="-7"/>
          <w:sz w:val="60"/>
        </w:rPr>
        <w:fldChar w:fldCharType="begin"/>
      </w:r>
      <w:r w:rsidR="005C01EC">
        <w:rPr>
          <w:rFonts w:ascii="Times New Roman" w:hAnsi="Times New Roman"/>
          <w:vanish/>
          <w:spacing w:val="-7"/>
          <w:sz w:val="60"/>
        </w:rPr>
        <w:instrText>SEQ</w:instrText>
      </w:r>
      <w:r>
        <w:rPr>
          <w:rFonts w:ascii="Times New Roman" w:hAnsi="Times New Roman"/>
          <w:vanish/>
          <w:spacing w:val="-7"/>
          <w:sz w:val="60"/>
        </w:rPr>
        <w:instrText xml:space="preserve"> Text_Box  \* ARABIC</w:instrText>
      </w:r>
      <w:r>
        <w:rPr>
          <w:rFonts w:ascii="Times New Roman" w:hAnsi="Times New Roman"/>
          <w:vanish/>
          <w:spacing w:val="-7"/>
          <w:sz w:val="60"/>
        </w:rPr>
        <w:fldChar w:fldCharType="separate"/>
      </w:r>
      <w:r w:rsidR="00526E82">
        <w:rPr>
          <w:rFonts w:ascii="Times New Roman" w:hAnsi="Times New Roman"/>
          <w:noProof/>
          <w:vanish/>
          <w:spacing w:val="-7"/>
          <w:sz w:val="60"/>
        </w:rPr>
        <w:t>1</w:t>
      </w:r>
      <w:r>
        <w:rPr>
          <w:rFonts w:ascii="Times New Roman" w:hAnsi="Times New Roman"/>
          <w:vanish/>
          <w:spacing w:val="-7"/>
          <w:sz w:val="60"/>
        </w:rPr>
        <w:fldChar w:fldCharType="end"/>
      </w:r>
    </w:p>
    <w:p w14:paraId="7583947D" w14:textId="3DDC6C28" w:rsidR="00752D8D" w:rsidRPr="003803E7" w:rsidRDefault="00752D8D" w:rsidP="00DA0062">
      <w:pPr>
        <w:widowControl/>
        <w:tabs>
          <w:tab w:val="left" w:pos="-720"/>
          <w:tab w:val="left" w:pos="284"/>
          <w:tab w:val="left" w:pos="864"/>
          <w:tab w:val="left" w:pos="1116"/>
          <w:tab w:val="left" w:pos="1404"/>
          <w:tab w:val="left" w:pos="1692"/>
          <w:tab w:val="left" w:pos="1980"/>
          <w:tab w:val="left" w:pos="2268"/>
          <w:tab w:val="left" w:pos="2880"/>
        </w:tabs>
        <w:ind w:left="284" w:hanging="284"/>
        <w:jc w:val="both"/>
        <w:rPr>
          <w:rFonts w:ascii="Times New Roman" w:hAnsi="Times New Roman"/>
          <w:spacing w:val="-2"/>
          <w:sz w:val="16"/>
          <w:szCs w:val="16"/>
        </w:rPr>
      </w:pPr>
      <w:r w:rsidRPr="003803E7">
        <w:rPr>
          <w:rFonts w:ascii="Times New Roman" w:hAnsi="Times New Roman"/>
          <w:b/>
          <w:spacing w:val="-2"/>
          <w:sz w:val="16"/>
          <w:szCs w:val="16"/>
        </w:rPr>
        <w:t xml:space="preserve">I. </w:t>
      </w:r>
      <w:r w:rsidRPr="003803E7">
        <w:rPr>
          <w:rFonts w:ascii="Times New Roman" w:hAnsi="Times New Roman"/>
          <w:b/>
          <w:spacing w:val="-2"/>
          <w:sz w:val="16"/>
          <w:szCs w:val="16"/>
        </w:rPr>
        <w:tab/>
        <w:t>Gesetzliche Regelung:</w:t>
      </w:r>
      <w:r w:rsidR="000549A6">
        <w:rPr>
          <w:rFonts w:ascii="Times New Roman" w:hAnsi="Times New Roman"/>
          <w:spacing w:val="-2"/>
          <w:sz w:val="16"/>
          <w:szCs w:val="16"/>
        </w:rPr>
        <w:t xml:space="preserve"> </w:t>
      </w:r>
      <w:r w:rsidRPr="003803E7">
        <w:rPr>
          <w:rFonts w:ascii="Times New Roman" w:hAnsi="Times New Roman"/>
          <w:spacing w:val="-2"/>
          <w:sz w:val="16"/>
          <w:szCs w:val="16"/>
        </w:rPr>
        <w:t>Die Berufung ist geregelt in den §§</w:t>
      </w:r>
      <w:r w:rsidR="005939DF">
        <w:rPr>
          <w:rFonts w:ascii="Times New Roman" w:hAnsi="Times New Roman"/>
          <w:spacing w:val="-2"/>
          <w:sz w:val="16"/>
          <w:szCs w:val="16"/>
        </w:rPr>
        <w:t> </w:t>
      </w:r>
      <w:r w:rsidRPr="003803E7">
        <w:rPr>
          <w:rFonts w:ascii="Times New Roman" w:hAnsi="Times New Roman"/>
          <w:spacing w:val="-2"/>
          <w:sz w:val="16"/>
          <w:szCs w:val="16"/>
        </w:rPr>
        <w:t>312-332 StPO.</w:t>
      </w:r>
    </w:p>
    <w:p w14:paraId="53E486A8" w14:textId="4C2E138C" w:rsidR="00752D8D" w:rsidRPr="003D12A8" w:rsidRDefault="00752D8D" w:rsidP="00DA0062">
      <w:pPr>
        <w:widowControl/>
        <w:tabs>
          <w:tab w:val="left" w:pos="-720"/>
          <w:tab w:val="left" w:pos="284"/>
          <w:tab w:val="left" w:pos="864"/>
          <w:tab w:val="left" w:pos="1116"/>
          <w:tab w:val="left" w:pos="1404"/>
          <w:tab w:val="left" w:pos="1692"/>
          <w:tab w:val="left" w:pos="1980"/>
          <w:tab w:val="left" w:pos="2268"/>
          <w:tab w:val="left" w:pos="2880"/>
        </w:tabs>
        <w:ind w:left="284" w:hanging="284"/>
        <w:jc w:val="both"/>
        <w:rPr>
          <w:rFonts w:ascii="Times New Roman" w:hAnsi="Times New Roman"/>
          <w:spacing w:val="-2"/>
          <w:sz w:val="16"/>
          <w:szCs w:val="16"/>
        </w:rPr>
      </w:pPr>
      <w:r w:rsidRPr="003803E7">
        <w:rPr>
          <w:rFonts w:ascii="Times New Roman" w:hAnsi="Times New Roman"/>
          <w:b/>
          <w:spacing w:val="-2"/>
          <w:sz w:val="16"/>
          <w:szCs w:val="16"/>
        </w:rPr>
        <w:t>II.</w:t>
      </w:r>
      <w:r w:rsidRPr="003803E7">
        <w:rPr>
          <w:rFonts w:ascii="Times New Roman" w:hAnsi="Times New Roman"/>
          <w:spacing w:val="-2"/>
          <w:sz w:val="16"/>
          <w:szCs w:val="16"/>
        </w:rPr>
        <w:t xml:space="preserve"> </w:t>
      </w:r>
      <w:r w:rsidRPr="003803E7">
        <w:rPr>
          <w:rFonts w:ascii="Times New Roman" w:hAnsi="Times New Roman"/>
          <w:spacing w:val="-2"/>
          <w:sz w:val="16"/>
          <w:szCs w:val="16"/>
        </w:rPr>
        <w:tab/>
      </w:r>
      <w:r w:rsidR="008753E9">
        <w:rPr>
          <w:rFonts w:ascii="Times New Roman" w:hAnsi="Times New Roman"/>
          <w:b/>
          <w:spacing w:val="-2"/>
          <w:sz w:val="16"/>
          <w:szCs w:val="16"/>
        </w:rPr>
        <w:t>Statthaftigkeit</w:t>
      </w:r>
      <w:r w:rsidR="00C04DF3" w:rsidRPr="003803E7">
        <w:rPr>
          <w:rFonts w:ascii="Times New Roman" w:hAnsi="Times New Roman"/>
          <w:b/>
          <w:spacing w:val="-2"/>
          <w:sz w:val="16"/>
          <w:szCs w:val="16"/>
        </w:rPr>
        <w:t xml:space="preserve"> </w:t>
      </w:r>
      <w:r w:rsidRPr="003803E7">
        <w:rPr>
          <w:rFonts w:ascii="Times New Roman" w:hAnsi="Times New Roman"/>
          <w:b/>
          <w:spacing w:val="-2"/>
          <w:sz w:val="16"/>
          <w:szCs w:val="16"/>
        </w:rPr>
        <w:t>(§</w:t>
      </w:r>
      <w:r w:rsidR="005939DF">
        <w:rPr>
          <w:rFonts w:ascii="Times New Roman" w:hAnsi="Times New Roman"/>
          <w:b/>
          <w:spacing w:val="-2"/>
          <w:sz w:val="16"/>
          <w:szCs w:val="16"/>
        </w:rPr>
        <w:t> </w:t>
      </w:r>
      <w:r w:rsidRPr="003803E7">
        <w:rPr>
          <w:rFonts w:ascii="Times New Roman" w:hAnsi="Times New Roman"/>
          <w:b/>
          <w:spacing w:val="-2"/>
          <w:sz w:val="16"/>
          <w:szCs w:val="16"/>
        </w:rPr>
        <w:t>312 StPO):</w:t>
      </w:r>
      <w:r w:rsidRPr="003803E7">
        <w:rPr>
          <w:rFonts w:ascii="Times New Roman" w:hAnsi="Times New Roman"/>
          <w:spacing w:val="-2"/>
          <w:sz w:val="16"/>
          <w:szCs w:val="16"/>
        </w:rPr>
        <w:t xml:space="preserve"> Die Berufung ist gerichtet auf die Überprüfung von </w:t>
      </w:r>
      <w:r w:rsidRPr="003803E7">
        <w:rPr>
          <w:rFonts w:ascii="Times New Roman" w:hAnsi="Times New Roman"/>
          <w:b/>
          <w:spacing w:val="-2"/>
          <w:sz w:val="16"/>
          <w:szCs w:val="16"/>
        </w:rPr>
        <w:t>Urteilen</w:t>
      </w:r>
      <w:r w:rsidRPr="003803E7">
        <w:rPr>
          <w:rFonts w:ascii="Times New Roman" w:hAnsi="Times New Roman"/>
          <w:spacing w:val="-2"/>
          <w:sz w:val="16"/>
          <w:szCs w:val="16"/>
        </w:rPr>
        <w:t xml:space="preserve">, die das Amtsgericht (sowohl der Strafrichter </w:t>
      </w:r>
      <w:r w:rsidRPr="003D12A8">
        <w:rPr>
          <w:rFonts w:ascii="Times New Roman" w:hAnsi="Times New Roman"/>
          <w:spacing w:val="-2"/>
          <w:sz w:val="16"/>
          <w:szCs w:val="16"/>
        </w:rPr>
        <w:t xml:space="preserve">als auch das Schöffengericht) gefällt hat (§ 312 StPO). Eine Überprüfung von erstinstanzlichen Urteilen des Landgerichts oder des OLG kann </w:t>
      </w:r>
      <w:r w:rsidRPr="003D12A8">
        <w:rPr>
          <w:rFonts w:ascii="Times New Roman" w:hAnsi="Times New Roman"/>
          <w:b/>
          <w:spacing w:val="-2"/>
          <w:sz w:val="16"/>
          <w:szCs w:val="16"/>
        </w:rPr>
        <w:t>nicht</w:t>
      </w:r>
      <w:r w:rsidRPr="003D12A8">
        <w:rPr>
          <w:rFonts w:ascii="Times New Roman" w:hAnsi="Times New Roman"/>
          <w:spacing w:val="-2"/>
          <w:sz w:val="16"/>
          <w:szCs w:val="16"/>
        </w:rPr>
        <w:t xml:space="preserve"> mit der Berufung, sondern nur mit der Revision erreicht werden. In der Berufung wird der Sachverhalt in tatsächlicher und rechtlicher Hinsicht neu untersucht (zweite Tatsacheninstanz; es können neue Tatsachen und Beweismittel eingeführt werden).</w:t>
      </w:r>
    </w:p>
    <w:p w14:paraId="010EAFA1" w14:textId="1EB0B39C" w:rsidR="00752D8D" w:rsidRPr="003D12A8" w:rsidRDefault="00752D8D" w:rsidP="00DA0062">
      <w:pPr>
        <w:widowControl/>
        <w:tabs>
          <w:tab w:val="left" w:pos="-720"/>
          <w:tab w:val="left" w:pos="284"/>
          <w:tab w:val="left" w:pos="864"/>
          <w:tab w:val="left" w:pos="1116"/>
          <w:tab w:val="left" w:pos="1404"/>
          <w:tab w:val="left" w:pos="1692"/>
          <w:tab w:val="left" w:pos="1980"/>
          <w:tab w:val="left" w:pos="2268"/>
          <w:tab w:val="left" w:pos="2880"/>
        </w:tabs>
        <w:ind w:left="284" w:hanging="284"/>
        <w:jc w:val="both"/>
        <w:rPr>
          <w:rFonts w:ascii="Times New Roman" w:hAnsi="Times New Roman"/>
          <w:spacing w:val="-2"/>
          <w:sz w:val="16"/>
          <w:szCs w:val="16"/>
        </w:rPr>
      </w:pPr>
      <w:r w:rsidRPr="003D12A8">
        <w:rPr>
          <w:rFonts w:ascii="Times New Roman" w:hAnsi="Times New Roman"/>
          <w:b/>
          <w:spacing w:val="-2"/>
          <w:sz w:val="16"/>
          <w:szCs w:val="16"/>
        </w:rPr>
        <w:t xml:space="preserve">III. </w:t>
      </w:r>
      <w:r w:rsidR="00C04DF3">
        <w:rPr>
          <w:rFonts w:ascii="Times New Roman" w:hAnsi="Times New Roman"/>
          <w:b/>
          <w:spacing w:val="-2"/>
          <w:sz w:val="16"/>
          <w:szCs w:val="16"/>
        </w:rPr>
        <w:tab/>
      </w:r>
      <w:r w:rsidRPr="003D12A8">
        <w:rPr>
          <w:rFonts w:ascii="Times New Roman" w:hAnsi="Times New Roman"/>
          <w:b/>
          <w:spacing w:val="-2"/>
          <w:sz w:val="16"/>
          <w:szCs w:val="16"/>
        </w:rPr>
        <w:t>Einschränkung: Annahme der Berufung</w:t>
      </w:r>
      <w:r w:rsidRPr="003D12A8">
        <w:rPr>
          <w:rFonts w:ascii="Times New Roman" w:hAnsi="Times New Roman"/>
          <w:spacing w:val="-2"/>
          <w:sz w:val="16"/>
          <w:szCs w:val="16"/>
        </w:rPr>
        <w:t xml:space="preserve"> (§</w:t>
      </w:r>
      <w:r w:rsidR="005939DF">
        <w:rPr>
          <w:rFonts w:ascii="Times New Roman" w:hAnsi="Times New Roman"/>
          <w:spacing w:val="-2"/>
          <w:sz w:val="16"/>
          <w:szCs w:val="16"/>
        </w:rPr>
        <w:t> </w:t>
      </w:r>
      <w:r w:rsidRPr="003D12A8">
        <w:rPr>
          <w:rFonts w:ascii="Times New Roman" w:hAnsi="Times New Roman"/>
          <w:spacing w:val="-2"/>
          <w:sz w:val="16"/>
          <w:szCs w:val="16"/>
        </w:rPr>
        <w:t xml:space="preserve">313 </w:t>
      </w:r>
      <w:r w:rsidR="00162288">
        <w:rPr>
          <w:rFonts w:ascii="Times New Roman" w:hAnsi="Times New Roman"/>
          <w:spacing w:val="-2"/>
          <w:sz w:val="16"/>
          <w:szCs w:val="16"/>
        </w:rPr>
        <w:t xml:space="preserve">I </w:t>
      </w:r>
      <w:r w:rsidRPr="003D12A8">
        <w:rPr>
          <w:rFonts w:ascii="Times New Roman" w:hAnsi="Times New Roman"/>
          <w:spacing w:val="-2"/>
          <w:sz w:val="16"/>
          <w:szCs w:val="16"/>
        </w:rPr>
        <w:t>StPO): in gesondert geregelten Fällen bedarf es einer Annahme:</w:t>
      </w:r>
    </w:p>
    <w:p w14:paraId="2B7469BD" w14:textId="77777777" w:rsidR="00752D8D" w:rsidRPr="003D12A8" w:rsidRDefault="00752D8D" w:rsidP="00DA0062">
      <w:pPr>
        <w:widowControl/>
        <w:numPr>
          <w:ilvl w:val="0"/>
          <w:numId w:val="4"/>
        </w:numPr>
        <w:tabs>
          <w:tab w:val="clear" w:pos="930"/>
          <w:tab w:val="left" w:pos="-720"/>
          <w:tab w:val="left" w:pos="0"/>
          <w:tab w:val="left" w:pos="567"/>
          <w:tab w:val="left" w:pos="1404"/>
          <w:tab w:val="left" w:pos="1692"/>
          <w:tab w:val="left" w:pos="1980"/>
          <w:tab w:val="left" w:pos="2268"/>
          <w:tab w:val="left" w:pos="2880"/>
        </w:tabs>
        <w:ind w:hanging="646"/>
        <w:jc w:val="both"/>
        <w:rPr>
          <w:rFonts w:ascii="Times New Roman" w:hAnsi="Times New Roman"/>
          <w:spacing w:val="-2"/>
          <w:sz w:val="16"/>
          <w:szCs w:val="16"/>
        </w:rPr>
      </w:pPr>
      <w:r w:rsidRPr="003D12A8">
        <w:rPr>
          <w:rFonts w:ascii="Times New Roman" w:hAnsi="Times New Roman"/>
          <w:spacing w:val="-2"/>
          <w:sz w:val="16"/>
          <w:szCs w:val="16"/>
        </w:rPr>
        <w:t>Verurteilung zu einer Geldstrafe von nicht mehr als 15 Tagessätzen</w:t>
      </w:r>
    </w:p>
    <w:p w14:paraId="2C093E9F" w14:textId="7BE721AA" w:rsidR="00752D8D" w:rsidRPr="003D12A8" w:rsidRDefault="00752D8D" w:rsidP="00DA0062">
      <w:pPr>
        <w:widowControl/>
        <w:numPr>
          <w:ilvl w:val="0"/>
          <w:numId w:val="4"/>
        </w:numPr>
        <w:tabs>
          <w:tab w:val="left" w:pos="-720"/>
          <w:tab w:val="left" w:pos="0"/>
          <w:tab w:val="left" w:pos="567"/>
          <w:tab w:val="left" w:pos="864"/>
          <w:tab w:val="left" w:pos="1116"/>
          <w:tab w:val="left" w:pos="1404"/>
          <w:tab w:val="left" w:pos="1692"/>
          <w:tab w:val="left" w:pos="1980"/>
          <w:tab w:val="left" w:pos="2268"/>
          <w:tab w:val="left" w:pos="2880"/>
        </w:tabs>
        <w:ind w:hanging="646"/>
        <w:jc w:val="both"/>
        <w:rPr>
          <w:rFonts w:ascii="Times New Roman" w:hAnsi="Times New Roman"/>
          <w:spacing w:val="-2"/>
          <w:sz w:val="16"/>
          <w:szCs w:val="16"/>
        </w:rPr>
      </w:pPr>
      <w:r w:rsidRPr="003D12A8">
        <w:rPr>
          <w:rFonts w:ascii="Times New Roman" w:hAnsi="Times New Roman"/>
          <w:spacing w:val="-2"/>
          <w:sz w:val="16"/>
          <w:szCs w:val="16"/>
        </w:rPr>
        <w:t>Verwarnung (§</w:t>
      </w:r>
      <w:r w:rsidR="005939DF">
        <w:rPr>
          <w:rFonts w:ascii="Times New Roman" w:hAnsi="Times New Roman"/>
          <w:spacing w:val="-2"/>
          <w:sz w:val="16"/>
          <w:szCs w:val="16"/>
        </w:rPr>
        <w:t> </w:t>
      </w:r>
      <w:r w:rsidRPr="003D12A8">
        <w:rPr>
          <w:rFonts w:ascii="Times New Roman" w:hAnsi="Times New Roman"/>
          <w:spacing w:val="-2"/>
          <w:sz w:val="16"/>
          <w:szCs w:val="16"/>
        </w:rPr>
        <w:t>59 StGB) mit vorbehaltener Strafe von nicht mehr als 15 Tagessätzen</w:t>
      </w:r>
    </w:p>
    <w:p w14:paraId="79B41943" w14:textId="77777777" w:rsidR="00752D8D" w:rsidRPr="003D12A8" w:rsidRDefault="00752D8D" w:rsidP="00DA0062">
      <w:pPr>
        <w:widowControl/>
        <w:numPr>
          <w:ilvl w:val="0"/>
          <w:numId w:val="4"/>
        </w:numPr>
        <w:tabs>
          <w:tab w:val="left" w:pos="-720"/>
          <w:tab w:val="left" w:pos="0"/>
          <w:tab w:val="left" w:pos="567"/>
          <w:tab w:val="left" w:pos="864"/>
          <w:tab w:val="left" w:pos="1116"/>
          <w:tab w:val="left" w:pos="1404"/>
          <w:tab w:val="left" w:pos="1692"/>
          <w:tab w:val="left" w:pos="1980"/>
          <w:tab w:val="left" w:pos="2268"/>
          <w:tab w:val="left" w:pos="2880"/>
        </w:tabs>
        <w:ind w:hanging="646"/>
        <w:jc w:val="both"/>
        <w:rPr>
          <w:rFonts w:ascii="Times New Roman" w:hAnsi="Times New Roman"/>
          <w:spacing w:val="-2"/>
          <w:sz w:val="16"/>
          <w:szCs w:val="16"/>
        </w:rPr>
      </w:pPr>
      <w:r w:rsidRPr="003D12A8">
        <w:rPr>
          <w:rFonts w:ascii="Times New Roman" w:hAnsi="Times New Roman"/>
          <w:spacing w:val="-2"/>
          <w:sz w:val="16"/>
          <w:szCs w:val="16"/>
        </w:rPr>
        <w:t>Verurteilung zu einer Geldbuße nach dem OWiG</w:t>
      </w:r>
    </w:p>
    <w:p w14:paraId="0D3A0A14" w14:textId="77777777" w:rsidR="00752D8D" w:rsidRPr="003D12A8" w:rsidRDefault="00752D8D" w:rsidP="00DA0062">
      <w:pPr>
        <w:widowControl/>
        <w:numPr>
          <w:ilvl w:val="0"/>
          <w:numId w:val="4"/>
        </w:numPr>
        <w:tabs>
          <w:tab w:val="left" w:pos="-720"/>
          <w:tab w:val="left" w:pos="0"/>
          <w:tab w:val="left" w:pos="567"/>
          <w:tab w:val="left" w:pos="864"/>
          <w:tab w:val="left" w:pos="1116"/>
          <w:tab w:val="left" w:pos="1404"/>
          <w:tab w:val="left" w:pos="1692"/>
          <w:tab w:val="left" w:pos="1980"/>
          <w:tab w:val="left" w:pos="2268"/>
          <w:tab w:val="left" w:pos="2880"/>
        </w:tabs>
        <w:ind w:hanging="646"/>
        <w:jc w:val="both"/>
        <w:rPr>
          <w:rFonts w:ascii="Times New Roman" w:hAnsi="Times New Roman"/>
          <w:spacing w:val="-2"/>
          <w:sz w:val="16"/>
          <w:szCs w:val="16"/>
        </w:rPr>
      </w:pPr>
      <w:r w:rsidRPr="003D12A8">
        <w:rPr>
          <w:rFonts w:ascii="Times New Roman" w:hAnsi="Times New Roman"/>
          <w:spacing w:val="-2"/>
          <w:sz w:val="16"/>
          <w:szCs w:val="16"/>
        </w:rPr>
        <w:t>Freispruch des Angeklagten, wenn Staatsanwaltschaft nicht mehr als 30 Tagessätze Geldstrafe beantragt hatte</w:t>
      </w:r>
    </w:p>
    <w:p w14:paraId="06A15E56" w14:textId="77777777" w:rsidR="00752D8D" w:rsidRPr="003D12A8" w:rsidRDefault="00752D8D" w:rsidP="00DA0062">
      <w:pPr>
        <w:widowControl/>
        <w:numPr>
          <w:ilvl w:val="0"/>
          <w:numId w:val="4"/>
        </w:numPr>
        <w:tabs>
          <w:tab w:val="left" w:pos="-720"/>
          <w:tab w:val="left" w:pos="0"/>
          <w:tab w:val="left" w:pos="567"/>
          <w:tab w:val="left" w:pos="864"/>
          <w:tab w:val="left" w:pos="1116"/>
          <w:tab w:val="left" w:pos="1404"/>
          <w:tab w:val="left" w:pos="1692"/>
          <w:tab w:val="left" w:pos="1980"/>
          <w:tab w:val="left" w:pos="2268"/>
          <w:tab w:val="left" w:pos="2880"/>
        </w:tabs>
        <w:ind w:hanging="646"/>
        <w:jc w:val="both"/>
        <w:rPr>
          <w:rFonts w:ascii="Times New Roman" w:hAnsi="Times New Roman"/>
          <w:spacing w:val="-2"/>
          <w:sz w:val="16"/>
          <w:szCs w:val="16"/>
        </w:rPr>
      </w:pPr>
      <w:r w:rsidRPr="003D12A8">
        <w:rPr>
          <w:rFonts w:ascii="Times New Roman" w:hAnsi="Times New Roman"/>
          <w:spacing w:val="-2"/>
          <w:sz w:val="16"/>
          <w:szCs w:val="16"/>
        </w:rPr>
        <w:t>Einstellung des Verfahrens, wenn Staatsanwaltschaft nicht mehr als 30 Tagessätze Geldstrafe beantragt hatte</w:t>
      </w:r>
    </w:p>
    <w:p w14:paraId="77ACBE23" w14:textId="7AA03D95" w:rsidR="00752D8D" w:rsidRPr="003D12A8" w:rsidRDefault="00752D8D" w:rsidP="00DA0062">
      <w:pPr>
        <w:widowControl/>
        <w:tabs>
          <w:tab w:val="left" w:pos="-720"/>
          <w:tab w:val="left" w:pos="0"/>
          <w:tab w:val="left" w:pos="284"/>
          <w:tab w:val="left" w:pos="864"/>
          <w:tab w:val="left" w:pos="1116"/>
          <w:tab w:val="left" w:pos="1404"/>
          <w:tab w:val="left" w:pos="1692"/>
          <w:tab w:val="left" w:pos="1980"/>
          <w:tab w:val="left" w:pos="2268"/>
          <w:tab w:val="left" w:pos="2880"/>
        </w:tabs>
        <w:ind w:left="284"/>
        <w:jc w:val="both"/>
        <w:rPr>
          <w:rFonts w:ascii="Times New Roman" w:hAnsi="Times New Roman"/>
          <w:spacing w:val="-2"/>
          <w:sz w:val="16"/>
          <w:szCs w:val="16"/>
        </w:rPr>
      </w:pPr>
      <w:r w:rsidRPr="003D12A8">
        <w:rPr>
          <w:rFonts w:ascii="Times New Roman" w:hAnsi="Times New Roman"/>
          <w:spacing w:val="-2"/>
          <w:sz w:val="16"/>
          <w:szCs w:val="16"/>
        </w:rPr>
        <w:t>Die Berufung wird angenommen, wenn sie nicht offensichtlich unbegründet ist (§</w:t>
      </w:r>
      <w:r w:rsidR="005939DF">
        <w:rPr>
          <w:rFonts w:ascii="Times New Roman" w:hAnsi="Times New Roman"/>
          <w:spacing w:val="-2"/>
          <w:sz w:val="16"/>
          <w:szCs w:val="16"/>
        </w:rPr>
        <w:t> </w:t>
      </w:r>
      <w:r w:rsidRPr="003D12A8">
        <w:rPr>
          <w:rFonts w:ascii="Times New Roman" w:hAnsi="Times New Roman"/>
          <w:spacing w:val="-2"/>
          <w:sz w:val="16"/>
          <w:szCs w:val="16"/>
        </w:rPr>
        <w:t xml:space="preserve">313 II 1 StPO). Sonst ist sie </w:t>
      </w:r>
      <w:r w:rsidRPr="003D12A8">
        <w:rPr>
          <w:rFonts w:ascii="Times New Roman" w:hAnsi="Times New Roman"/>
          <w:b/>
          <w:spacing w:val="-2"/>
          <w:sz w:val="16"/>
          <w:szCs w:val="16"/>
        </w:rPr>
        <w:t xml:space="preserve">als unzulässig zu verwerfen </w:t>
      </w:r>
      <w:r w:rsidRPr="003D12A8">
        <w:rPr>
          <w:rFonts w:ascii="Times New Roman" w:hAnsi="Times New Roman"/>
          <w:spacing w:val="-2"/>
          <w:sz w:val="16"/>
          <w:szCs w:val="16"/>
        </w:rPr>
        <w:t>(§</w:t>
      </w:r>
      <w:r w:rsidR="005939DF">
        <w:rPr>
          <w:rFonts w:ascii="Times New Roman" w:hAnsi="Times New Roman"/>
          <w:spacing w:val="-2"/>
          <w:sz w:val="16"/>
          <w:szCs w:val="16"/>
        </w:rPr>
        <w:t> </w:t>
      </w:r>
      <w:r w:rsidRPr="003D12A8">
        <w:rPr>
          <w:rFonts w:ascii="Times New Roman" w:hAnsi="Times New Roman"/>
          <w:spacing w:val="-2"/>
          <w:sz w:val="16"/>
          <w:szCs w:val="16"/>
        </w:rPr>
        <w:t>313 II 2 StPO). Die Entscheidung erfolgt durch Beschluss, der im Falle der Annahme der Berufung keiner Begründung bedarf (§</w:t>
      </w:r>
      <w:r w:rsidR="005939DF">
        <w:rPr>
          <w:rFonts w:ascii="Times New Roman" w:hAnsi="Times New Roman"/>
          <w:spacing w:val="-2"/>
          <w:sz w:val="16"/>
          <w:szCs w:val="16"/>
        </w:rPr>
        <w:t> </w:t>
      </w:r>
      <w:r w:rsidRPr="003D12A8">
        <w:rPr>
          <w:rFonts w:ascii="Times New Roman" w:hAnsi="Times New Roman"/>
          <w:spacing w:val="-2"/>
          <w:sz w:val="16"/>
          <w:szCs w:val="16"/>
        </w:rPr>
        <w:t>322a S.</w:t>
      </w:r>
      <w:r w:rsidR="00C815EA" w:rsidRPr="003D12A8">
        <w:rPr>
          <w:rFonts w:ascii="Times New Roman" w:hAnsi="Times New Roman"/>
          <w:spacing w:val="-2"/>
          <w:sz w:val="16"/>
          <w:szCs w:val="16"/>
        </w:rPr>
        <w:t> </w:t>
      </w:r>
      <w:r w:rsidRPr="003D12A8">
        <w:rPr>
          <w:rFonts w:ascii="Times New Roman" w:hAnsi="Times New Roman"/>
          <w:spacing w:val="-2"/>
          <w:sz w:val="16"/>
          <w:szCs w:val="16"/>
        </w:rPr>
        <w:t>3 StPO). Dieser ist nach §</w:t>
      </w:r>
      <w:r w:rsidR="005939DF">
        <w:rPr>
          <w:rFonts w:ascii="Times New Roman" w:hAnsi="Times New Roman"/>
          <w:spacing w:val="-2"/>
          <w:sz w:val="16"/>
          <w:szCs w:val="16"/>
        </w:rPr>
        <w:t> </w:t>
      </w:r>
      <w:r w:rsidRPr="003D12A8">
        <w:rPr>
          <w:rFonts w:ascii="Times New Roman" w:hAnsi="Times New Roman"/>
          <w:spacing w:val="-2"/>
          <w:sz w:val="16"/>
          <w:szCs w:val="16"/>
        </w:rPr>
        <w:t>322a S. 2 StPO unanfechtbar. Einzige Ausnahme: eine sofortige Beschwerde ist zulässig, wenn behauptet wird, es läge gar kein Fall der Annahmeberufung vor (§</w:t>
      </w:r>
      <w:r w:rsidR="00A97544">
        <w:rPr>
          <w:rFonts w:ascii="Times New Roman" w:hAnsi="Times New Roman"/>
          <w:spacing w:val="-2"/>
          <w:sz w:val="16"/>
          <w:szCs w:val="16"/>
        </w:rPr>
        <w:t> </w:t>
      </w:r>
      <w:r w:rsidRPr="003D12A8">
        <w:rPr>
          <w:rFonts w:ascii="Times New Roman" w:hAnsi="Times New Roman"/>
          <w:spacing w:val="-2"/>
          <w:sz w:val="16"/>
          <w:szCs w:val="16"/>
        </w:rPr>
        <w:t>322 II StPO analog).</w:t>
      </w:r>
    </w:p>
    <w:p w14:paraId="39074E0F" w14:textId="70677623" w:rsidR="00752D8D" w:rsidRPr="003D12A8" w:rsidRDefault="00752D8D" w:rsidP="00DA0062">
      <w:pPr>
        <w:widowControl/>
        <w:tabs>
          <w:tab w:val="left" w:pos="-720"/>
          <w:tab w:val="left" w:pos="284"/>
          <w:tab w:val="left" w:pos="864"/>
          <w:tab w:val="left" w:pos="1116"/>
          <w:tab w:val="left" w:pos="1404"/>
          <w:tab w:val="left" w:pos="1692"/>
          <w:tab w:val="left" w:pos="1980"/>
          <w:tab w:val="left" w:pos="2268"/>
          <w:tab w:val="left" w:pos="2880"/>
        </w:tabs>
        <w:ind w:left="284" w:hanging="284"/>
        <w:jc w:val="both"/>
        <w:rPr>
          <w:rFonts w:ascii="Times New Roman" w:hAnsi="Times New Roman"/>
          <w:spacing w:val="-2"/>
          <w:sz w:val="16"/>
          <w:szCs w:val="16"/>
        </w:rPr>
      </w:pPr>
      <w:r w:rsidRPr="003D12A8">
        <w:rPr>
          <w:rFonts w:ascii="Times New Roman" w:hAnsi="Times New Roman"/>
          <w:b/>
          <w:spacing w:val="-2"/>
          <w:sz w:val="16"/>
          <w:szCs w:val="16"/>
        </w:rPr>
        <w:t xml:space="preserve">IV. </w:t>
      </w:r>
      <w:r w:rsidR="00C04DF3">
        <w:rPr>
          <w:rFonts w:ascii="Times New Roman" w:hAnsi="Times New Roman"/>
          <w:b/>
          <w:spacing w:val="-2"/>
          <w:sz w:val="16"/>
          <w:szCs w:val="16"/>
        </w:rPr>
        <w:tab/>
      </w:r>
      <w:r w:rsidRPr="003D12A8">
        <w:rPr>
          <w:rFonts w:ascii="Times New Roman" w:hAnsi="Times New Roman"/>
          <w:b/>
          <w:spacing w:val="-2"/>
          <w:sz w:val="16"/>
          <w:szCs w:val="16"/>
        </w:rPr>
        <w:t xml:space="preserve">Regelungsumfang: </w:t>
      </w:r>
      <w:r w:rsidRPr="003D12A8">
        <w:rPr>
          <w:rFonts w:ascii="Times New Roman" w:hAnsi="Times New Roman"/>
          <w:spacing w:val="-2"/>
          <w:sz w:val="16"/>
          <w:szCs w:val="16"/>
        </w:rPr>
        <w:t>Es findet eine Überprüfung in tatsächlicher und rechtlicher Hinsicht statt = zweite Tatsacheninstanz, d.h. es können neue Tatsachen und Beweismittel eingeführt werden (§</w:t>
      </w:r>
      <w:r w:rsidR="005939DF">
        <w:rPr>
          <w:rFonts w:ascii="Times New Roman" w:hAnsi="Times New Roman"/>
          <w:spacing w:val="-2"/>
          <w:sz w:val="16"/>
          <w:szCs w:val="16"/>
        </w:rPr>
        <w:t> </w:t>
      </w:r>
      <w:r w:rsidRPr="003D12A8">
        <w:rPr>
          <w:rFonts w:ascii="Times New Roman" w:hAnsi="Times New Roman"/>
          <w:spacing w:val="-2"/>
          <w:sz w:val="16"/>
          <w:szCs w:val="16"/>
        </w:rPr>
        <w:t>323 III StPO).</w:t>
      </w:r>
    </w:p>
    <w:p w14:paraId="684A6D57" w14:textId="4AA0CAC3" w:rsidR="00752D8D" w:rsidRPr="003803E7" w:rsidRDefault="00752D8D" w:rsidP="00DA0062">
      <w:pPr>
        <w:widowControl/>
        <w:tabs>
          <w:tab w:val="left" w:pos="-720"/>
          <w:tab w:val="left" w:pos="284"/>
          <w:tab w:val="left" w:pos="864"/>
          <w:tab w:val="left" w:pos="1116"/>
          <w:tab w:val="left" w:pos="1404"/>
          <w:tab w:val="left" w:pos="1692"/>
          <w:tab w:val="left" w:pos="1980"/>
          <w:tab w:val="left" w:pos="2268"/>
          <w:tab w:val="left" w:pos="2880"/>
        </w:tabs>
        <w:ind w:left="284" w:hanging="284"/>
        <w:jc w:val="both"/>
        <w:rPr>
          <w:rFonts w:ascii="Times New Roman" w:hAnsi="Times New Roman"/>
          <w:spacing w:val="-2"/>
          <w:sz w:val="16"/>
          <w:szCs w:val="16"/>
        </w:rPr>
      </w:pPr>
      <w:r w:rsidRPr="003D12A8">
        <w:rPr>
          <w:rFonts w:ascii="Times New Roman" w:hAnsi="Times New Roman"/>
          <w:b/>
          <w:spacing w:val="-2"/>
          <w:sz w:val="16"/>
          <w:szCs w:val="16"/>
        </w:rPr>
        <w:t xml:space="preserve">V. </w:t>
      </w:r>
      <w:r w:rsidRPr="003D12A8">
        <w:rPr>
          <w:rFonts w:ascii="Times New Roman" w:hAnsi="Times New Roman"/>
          <w:b/>
          <w:spacing w:val="-2"/>
          <w:sz w:val="16"/>
          <w:szCs w:val="16"/>
        </w:rPr>
        <w:tab/>
        <w:t xml:space="preserve">Zuständigkeit: </w:t>
      </w:r>
      <w:r w:rsidRPr="003D12A8">
        <w:rPr>
          <w:rFonts w:ascii="Times New Roman" w:hAnsi="Times New Roman"/>
          <w:spacing w:val="-2"/>
          <w:sz w:val="16"/>
          <w:szCs w:val="16"/>
        </w:rPr>
        <w:t xml:space="preserve">Funktionell zuständig für die Berufungsentscheidung ist die </w:t>
      </w:r>
      <w:r w:rsidRPr="003D12A8">
        <w:rPr>
          <w:rFonts w:ascii="Times New Roman" w:hAnsi="Times New Roman"/>
          <w:b/>
          <w:spacing w:val="-2"/>
          <w:sz w:val="16"/>
          <w:szCs w:val="16"/>
        </w:rPr>
        <w:t>kleine Strafkammer</w:t>
      </w:r>
      <w:r w:rsidRPr="003D12A8">
        <w:rPr>
          <w:rFonts w:ascii="Times New Roman" w:hAnsi="Times New Roman"/>
          <w:spacing w:val="-2"/>
          <w:sz w:val="16"/>
          <w:szCs w:val="16"/>
        </w:rPr>
        <w:t xml:space="preserve"> des Landgerichts, §§</w:t>
      </w:r>
      <w:r w:rsidR="005939DF">
        <w:rPr>
          <w:rFonts w:ascii="Times New Roman" w:hAnsi="Times New Roman"/>
          <w:spacing w:val="-2"/>
          <w:sz w:val="16"/>
          <w:szCs w:val="16"/>
        </w:rPr>
        <w:t> </w:t>
      </w:r>
      <w:r w:rsidRPr="003D12A8">
        <w:rPr>
          <w:rFonts w:ascii="Times New Roman" w:hAnsi="Times New Roman"/>
          <w:spacing w:val="-2"/>
          <w:sz w:val="16"/>
          <w:szCs w:val="16"/>
        </w:rPr>
        <w:t xml:space="preserve">74 III, 76 I 1 </w:t>
      </w:r>
      <w:r w:rsidR="008A0210">
        <w:rPr>
          <w:rFonts w:ascii="Times New Roman" w:hAnsi="Times New Roman"/>
          <w:spacing w:val="-2"/>
          <w:sz w:val="16"/>
          <w:szCs w:val="16"/>
        </w:rPr>
        <w:t>Alt.</w:t>
      </w:r>
      <w:r w:rsidR="005939DF">
        <w:rPr>
          <w:rFonts w:ascii="Times New Roman" w:hAnsi="Times New Roman"/>
          <w:spacing w:val="-2"/>
          <w:sz w:val="16"/>
          <w:szCs w:val="16"/>
        </w:rPr>
        <w:t> </w:t>
      </w:r>
      <w:r w:rsidR="008A0210">
        <w:rPr>
          <w:rFonts w:ascii="Times New Roman" w:hAnsi="Times New Roman"/>
          <w:spacing w:val="-2"/>
          <w:sz w:val="16"/>
          <w:szCs w:val="16"/>
        </w:rPr>
        <w:t xml:space="preserve">2 </w:t>
      </w:r>
      <w:r w:rsidRPr="003D12A8">
        <w:rPr>
          <w:rFonts w:ascii="Times New Roman" w:hAnsi="Times New Roman"/>
          <w:spacing w:val="-2"/>
          <w:sz w:val="16"/>
          <w:szCs w:val="16"/>
        </w:rPr>
        <w:t>GVG; Ausnahme: nach §</w:t>
      </w:r>
      <w:r w:rsidR="005939DF">
        <w:rPr>
          <w:rFonts w:ascii="Times New Roman" w:hAnsi="Times New Roman"/>
          <w:spacing w:val="-2"/>
          <w:sz w:val="16"/>
          <w:szCs w:val="16"/>
        </w:rPr>
        <w:t> </w:t>
      </w:r>
      <w:r w:rsidRPr="003D12A8">
        <w:rPr>
          <w:rFonts w:ascii="Times New Roman" w:hAnsi="Times New Roman"/>
          <w:spacing w:val="-2"/>
          <w:sz w:val="16"/>
          <w:szCs w:val="16"/>
        </w:rPr>
        <w:t xml:space="preserve">76 </w:t>
      </w:r>
      <w:r w:rsidR="00C85C9F" w:rsidRPr="003D12A8">
        <w:rPr>
          <w:rFonts w:ascii="Times New Roman" w:hAnsi="Times New Roman"/>
          <w:spacing w:val="-2"/>
          <w:sz w:val="16"/>
          <w:szCs w:val="16"/>
        </w:rPr>
        <w:t>VI</w:t>
      </w:r>
      <w:r w:rsidRPr="003D12A8">
        <w:rPr>
          <w:rFonts w:ascii="Times New Roman" w:hAnsi="Times New Roman"/>
          <w:spacing w:val="-2"/>
          <w:sz w:val="16"/>
          <w:szCs w:val="16"/>
        </w:rPr>
        <w:t xml:space="preserve"> GVG ist ein zweiter Berufsrichter hinzuzuziehen, wenn es sich um eine Berufung gegen ein Urteil des e</w:t>
      </w:r>
      <w:r w:rsidRPr="003803E7">
        <w:rPr>
          <w:rFonts w:ascii="Times New Roman" w:hAnsi="Times New Roman"/>
          <w:spacing w:val="-2"/>
          <w:sz w:val="16"/>
          <w:szCs w:val="16"/>
        </w:rPr>
        <w:t>rweiterten Schöffengerichtes (§</w:t>
      </w:r>
      <w:r w:rsidR="005939DF">
        <w:rPr>
          <w:rFonts w:ascii="Times New Roman" w:hAnsi="Times New Roman"/>
          <w:spacing w:val="-2"/>
          <w:sz w:val="16"/>
          <w:szCs w:val="16"/>
        </w:rPr>
        <w:t> </w:t>
      </w:r>
      <w:r w:rsidRPr="003803E7">
        <w:rPr>
          <w:rFonts w:ascii="Times New Roman" w:hAnsi="Times New Roman"/>
          <w:spacing w:val="-2"/>
          <w:sz w:val="16"/>
          <w:szCs w:val="16"/>
        </w:rPr>
        <w:t>29 II GVG) handelt.</w:t>
      </w:r>
    </w:p>
    <w:p w14:paraId="0A517EEC" w14:textId="40D0CDD9" w:rsidR="00752D8D" w:rsidRPr="003803E7" w:rsidRDefault="00752D8D" w:rsidP="00DA0062">
      <w:pPr>
        <w:widowControl/>
        <w:tabs>
          <w:tab w:val="left" w:pos="-720"/>
          <w:tab w:val="left" w:pos="284"/>
          <w:tab w:val="left" w:pos="864"/>
          <w:tab w:val="left" w:pos="1116"/>
          <w:tab w:val="left" w:pos="1404"/>
          <w:tab w:val="left" w:pos="1692"/>
          <w:tab w:val="left" w:pos="1980"/>
          <w:tab w:val="left" w:pos="2268"/>
          <w:tab w:val="left" w:pos="2880"/>
        </w:tabs>
        <w:ind w:left="284" w:hanging="284"/>
        <w:jc w:val="both"/>
        <w:rPr>
          <w:rFonts w:ascii="Times New Roman" w:hAnsi="Times New Roman"/>
          <w:spacing w:val="-2"/>
          <w:sz w:val="16"/>
          <w:szCs w:val="16"/>
        </w:rPr>
      </w:pPr>
      <w:r w:rsidRPr="003803E7">
        <w:rPr>
          <w:rFonts w:ascii="Times New Roman" w:hAnsi="Times New Roman"/>
          <w:b/>
          <w:spacing w:val="-2"/>
          <w:sz w:val="16"/>
          <w:szCs w:val="16"/>
        </w:rPr>
        <w:t xml:space="preserve">VI. </w:t>
      </w:r>
      <w:r w:rsidR="00C04DF3">
        <w:rPr>
          <w:rFonts w:ascii="Times New Roman" w:hAnsi="Times New Roman"/>
          <w:b/>
          <w:spacing w:val="-2"/>
          <w:sz w:val="16"/>
          <w:szCs w:val="16"/>
        </w:rPr>
        <w:tab/>
      </w:r>
      <w:r w:rsidRPr="003803E7">
        <w:rPr>
          <w:rFonts w:ascii="Times New Roman" w:hAnsi="Times New Roman"/>
          <w:b/>
          <w:spacing w:val="-2"/>
          <w:sz w:val="16"/>
          <w:szCs w:val="16"/>
        </w:rPr>
        <w:t xml:space="preserve">Form: </w:t>
      </w:r>
      <w:r w:rsidRPr="003803E7">
        <w:rPr>
          <w:rFonts w:ascii="Times New Roman" w:hAnsi="Times New Roman"/>
          <w:spacing w:val="-2"/>
          <w:sz w:val="16"/>
          <w:szCs w:val="16"/>
        </w:rPr>
        <w:t>Die Berufung ist (beim Ausgangsgericht) zu Protokoll der Geschäftsstelle oder schriftlich einzulegen (§</w:t>
      </w:r>
      <w:r w:rsidR="005939DF">
        <w:rPr>
          <w:rFonts w:ascii="Times New Roman" w:hAnsi="Times New Roman"/>
          <w:spacing w:val="-2"/>
          <w:sz w:val="16"/>
          <w:szCs w:val="16"/>
        </w:rPr>
        <w:t> </w:t>
      </w:r>
      <w:r w:rsidRPr="003803E7">
        <w:rPr>
          <w:rFonts w:ascii="Times New Roman" w:hAnsi="Times New Roman"/>
          <w:spacing w:val="-2"/>
          <w:sz w:val="16"/>
          <w:szCs w:val="16"/>
        </w:rPr>
        <w:t xml:space="preserve">314 </w:t>
      </w:r>
      <w:r w:rsidR="00843592">
        <w:rPr>
          <w:rFonts w:ascii="Times New Roman" w:hAnsi="Times New Roman"/>
          <w:spacing w:val="-2"/>
          <w:sz w:val="16"/>
          <w:szCs w:val="16"/>
        </w:rPr>
        <w:t xml:space="preserve">I </w:t>
      </w:r>
      <w:r w:rsidRPr="003803E7">
        <w:rPr>
          <w:rFonts w:ascii="Times New Roman" w:hAnsi="Times New Roman"/>
          <w:spacing w:val="-2"/>
          <w:sz w:val="16"/>
          <w:szCs w:val="16"/>
        </w:rPr>
        <w:t>StPO). Eine Begründung ist zulässig, aber nicht erforderlich (§ 317 StPO). Das Rechtsmittel muss nicht als „Berufung“ bezeichnet werden. Unterbleibt die genaue Bezeichnung des Rechtsmittels endgültig, so ist von der Berufung auszugehen, da sie im Hinblick auf die Revision das umfassendere Rechtsmittel darstellt. Innerhalb der Revisionsbegründungsfrist kann der Beschwerdeführer seine zunächst eingelegte Berufung in eine Revision umändern.</w:t>
      </w:r>
    </w:p>
    <w:p w14:paraId="737ECED1" w14:textId="4377E443" w:rsidR="00752D8D" w:rsidRPr="003803E7" w:rsidRDefault="00752D8D" w:rsidP="003F75E7">
      <w:pPr>
        <w:widowControl/>
        <w:tabs>
          <w:tab w:val="left" w:pos="-720"/>
          <w:tab w:val="left" w:pos="0"/>
          <w:tab w:val="left" w:pos="284"/>
          <w:tab w:val="left" w:pos="864"/>
          <w:tab w:val="left" w:pos="1116"/>
          <w:tab w:val="left" w:pos="1404"/>
          <w:tab w:val="left" w:pos="1692"/>
          <w:tab w:val="left" w:pos="1980"/>
          <w:tab w:val="left" w:pos="2268"/>
          <w:tab w:val="left" w:pos="2880"/>
        </w:tabs>
        <w:ind w:left="284" w:hanging="284"/>
        <w:jc w:val="both"/>
        <w:rPr>
          <w:rFonts w:ascii="Times New Roman" w:hAnsi="Times New Roman"/>
          <w:spacing w:val="-2"/>
          <w:sz w:val="16"/>
          <w:szCs w:val="16"/>
        </w:rPr>
      </w:pPr>
      <w:r w:rsidRPr="003803E7">
        <w:rPr>
          <w:rFonts w:ascii="Times New Roman" w:hAnsi="Times New Roman"/>
          <w:b/>
          <w:spacing w:val="-2"/>
          <w:sz w:val="16"/>
          <w:szCs w:val="16"/>
        </w:rPr>
        <w:t>VII. Frist:</w:t>
      </w:r>
      <w:r w:rsidRPr="003803E7">
        <w:rPr>
          <w:rFonts w:ascii="Times New Roman" w:hAnsi="Times New Roman"/>
          <w:spacing w:val="-2"/>
          <w:sz w:val="16"/>
          <w:szCs w:val="16"/>
        </w:rPr>
        <w:t xml:space="preserve"> Die Berufung muss binnen einer Woche nach Verkündung des Urteils eingelegt werden, §</w:t>
      </w:r>
      <w:r w:rsidR="00463B06">
        <w:rPr>
          <w:rFonts w:ascii="Times New Roman" w:hAnsi="Times New Roman"/>
          <w:spacing w:val="-2"/>
          <w:sz w:val="16"/>
          <w:szCs w:val="16"/>
        </w:rPr>
        <w:t> </w:t>
      </w:r>
      <w:r w:rsidRPr="003803E7">
        <w:rPr>
          <w:rFonts w:ascii="Times New Roman" w:hAnsi="Times New Roman"/>
          <w:spacing w:val="-2"/>
          <w:sz w:val="16"/>
          <w:szCs w:val="16"/>
        </w:rPr>
        <w:t xml:space="preserve">314 </w:t>
      </w:r>
      <w:r w:rsidR="000A3381">
        <w:rPr>
          <w:rFonts w:ascii="Times New Roman" w:hAnsi="Times New Roman"/>
          <w:spacing w:val="-2"/>
          <w:sz w:val="16"/>
          <w:szCs w:val="16"/>
        </w:rPr>
        <w:t xml:space="preserve">I </w:t>
      </w:r>
      <w:r w:rsidRPr="003803E7">
        <w:rPr>
          <w:rFonts w:ascii="Times New Roman" w:hAnsi="Times New Roman"/>
          <w:spacing w:val="-2"/>
          <w:sz w:val="16"/>
          <w:szCs w:val="16"/>
        </w:rPr>
        <w:t xml:space="preserve">StPO; war der Angeklagte bei der Verkündung nicht </w:t>
      </w:r>
      <w:r w:rsidR="005939DF">
        <w:rPr>
          <w:rFonts w:ascii="Times New Roman" w:hAnsi="Times New Roman"/>
          <w:spacing w:val="-2"/>
          <w:sz w:val="16"/>
          <w:szCs w:val="16"/>
        </w:rPr>
        <w:t>anwesend</w:t>
      </w:r>
      <w:r w:rsidRPr="003803E7">
        <w:rPr>
          <w:rFonts w:ascii="Times New Roman" w:hAnsi="Times New Roman"/>
          <w:spacing w:val="-2"/>
          <w:sz w:val="16"/>
          <w:szCs w:val="16"/>
        </w:rPr>
        <w:t xml:space="preserve">, beginnt die Frist mit der Zustellung </w:t>
      </w:r>
      <w:r w:rsidR="005939DF">
        <w:rPr>
          <w:rFonts w:ascii="Times New Roman" w:hAnsi="Times New Roman"/>
          <w:spacing w:val="-2"/>
          <w:sz w:val="16"/>
          <w:szCs w:val="16"/>
        </w:rPr>
        <w:t>(</w:t>
      </w:r>
      <w:r w:rsidRPr="003803E7">
        <w:rPr>
          <w:rFonts w:ascii="Times New Roman" w:hAnsi="Times New Roman"/>
          <w:spacing w:val="-2"/>
          <w:sz w:val="16"/>
          <w:szCs w:val="16"/>
        </w:rPr>
        <w:t>§</w:t>
      </w:r>
      <w:r w:rsidR="005939DF">
        <w:rPr>
          <w:rFonts w:ascii="Times New Roman" w:hAnsi="Times New Roman"/>
          <w:spacing w:val="-2"/>
          <w:sz w:val="16"/>
          <w:szCs w:val="16"/>
        </w:rPr>
        <w:t> </w:t>
      </w:r>
      <w:r w:rsidRPr="003803E7">
        <w:rPr>
          <w:rFonts w:ascii="Times New Roman" w:hAnsi="Times New Roman"/>
          <w:spacing w:val="-2"/>
          <w:sz w:val="16"/>
          <w:szCs w:val="16"/>
        </w:rPr>
        <w:t>314 II StPO</w:t>
      </w:r>
      <w:r w:rsidR="005939DF">
        <w:rPr>
          <w:rFonts w:ascii="Times New Roman" w:hAnsi="Times New Roman"/>
          <w:spacing w:val="-2"/>
          <w:sz w:val="16"/>
          <w:szCs w:val="16"/>
        </w:rPr>
        <w:t>), sofern die Verkündung nicht in Anwesenheit des mit schriftlicher Vollmacht versehenen Verteidigers stattgefunden hat (</w:t>
      </w:r>
      <w:r w:rsidR="00463B06">
        <w:rPr>
          <w:rFonts w:ascii="Times New Roman" w:hAnsi="Times New Roman"/>
          <w:spacing w:val="-2"/>
          <w:sz w:val="16"/>
          <w:szCs w:val="16"/>
        </w:rPr>
        <w:t>vgl. §§ 234, 387 I, 411 II, 428 I 1 StPO)</w:t>
      </w:r>
      <w:r w:rsidRPr="003803E7">
        <w:rPr>
          <w:rFonts w:ascii="Times New Roman" w:hAnsi="Times New Roman"/>
          <w:spacing w:val="-2"/>
          <w:sz w:val="16"/>
          <w:szCs w:val="16"/>
        </w:rPr>
        <w:t>.</w:t>
      </w:r>
    </w:p>
    <w:p w14:paraId="62D112C6" w14:textId="7B72A5FC" w:rsidR="00752D8D" w:rsidRPr="003803E7" w:rsidRDefault="00752D8D" w:rsidP="00DA0062">
      <w:pPr>
        <w:widowControl/>
        <w:tabs>
          <w:tab w:val="left" w:pos="-720"/>
          <w:tab w:val="left" w:pos="0"/>
          <w:tab w:val="left" w:pos="284"/>
          <w:tab w:val="left" w:pos="864"/>
          <w:tab w:val="left" w:pos="1116"/>
          <w:tab w:val="left" w:pos="1404"/>
          <w:tab w:val="left" w:pos="1692"/>
          <w:tab w:val="left" w:pos="1980"/>
          <w:tab w:val="left" w:pos="2268"/>
          <w:tab w:val="left" w:pos="2880"/>
        </w:tabs>
        <w:ind w:left="284" w:hanging="284"/>
        <w:jc w:val="both"/>
        <w:rPr>
          <w:rFonts w:ascii="Times New Roman" w:hAnsi="Times New Roman"/>
          <w:spacing w:val="-2"/>
          <w:sz w:val="16"/>
          <w:szCs w:val="16"/>
        </w:rPr>
      </w:pPr>
      <w:r w:rsidRPr="003803E7">
        <w:rPr>
          <w:rFonts w:ascii="Times New Roman" w:hAnsi="Times New Roman"/>
          <w:b/>
          <w:spacing w:val="-2"/>
          <w:sz w:val="16"/>
          <w:szCs w:val="16"/>
        </w:rPr>
        <w:t xml:space="preserve">VIII. Beschränkung: </w:t>
      </w:r>
      <w:r w:rsidRPr="003803E7">
        <w:rPr>
          <w:rFonts w:ascii="Times New Roman" w:hAnsi="Times New Roman"/>
          <w:spacing w:val="-2"/>
          <w:sz w:val="16"/>
          <w:szCs w:val="16"/>
        </w:rPr>
        <w:t xml:space="preserve">Eine Beschränkung auf einzelne </w:t>
      </w:r>
      <w:r w:rsidR="00463B06">
        <w:rPr>
          <w:rFonts w:ascii="Times New Roman" w:hAnsi="Times New Roman"/>
          <w:spacing w:val="-2"/>
          <w:sz w:val="16"/>
          <w:szCs w:val="16"/>
        </w:rPr>
        <w:t>Beschwerdep</w:t>
      </w:r>
      <w:r w:rsidRPr="003803E7">
        <w:rPr>
          <w:rFonts w:ascii="Times New Roman" w:hAnsi="Times New Roman"/>
          <w:spacing w:val="-2"/>
          <w:sz w:val="16"/>
          <w:szCs w:val="16"/>
        </w:rPr>
        <w:t>unkte ist zulässig (§</w:t>
      </w:r>
      <w:r w:rsidR="00463B06">
        <w:rPr>
          <w:rFonts w:ascii="Times New Roman" w:hAnsi="Times New Roman"/>
          <w:spacing w:val="-2"/>
          <w:sz w:val="16"/>
          <w:szCs w:val="16"/>
        </w:rPr>
        <w:t> </w:t>
      </w:r>
      <w:r w:rsidRPr="003803E7">
        <w:rPr>
          <w:rFonts w:ascii="Times New Roman" w:hAnsi="Times New Roman"/>
          <w:spacing w:val="-2"/>
          <w:sz w:val="16"/>
          <w:szCs w:val="16"/>
        </w:rPr>
        <w:t xml:space="preserve">318 </w:t>
      </w:r>
      <w:r w:rsidR="000A3381">
        <w:rPr>
          <w:rFonts w:ascii="Times New Roman" w:hAnsi="Times New Roman"/>
          <w:spacing w:val="-2"/>
          <w:sz w:val="16"/>
          <w:szCs w:val="16"/>
        </w:rPr>
        <w:t>S.</w:t>
      </w:r>
      <w:r w:rsidR="00463B06">
        <w:rPr>
          <w:rFonts w:ascii="Times New Roman" w:hAnsi="Times New Roman"/>
          <w:spacing w:val="-2"/>
          <w:sz w:val="16"/>
          <w:szCs w:val="16"/>
        </w:rPr>
        <w:t> </w:t>
      </w:r>
      <w:r w:rsidR="000A3381">
        <w:rPr>
          <w:rFonts w:ascii="Times New Roman" w:hAnsi="Times New Roman"/>
          <w:spacing w:val="-2"/>
          <w:sz w:val="16"/>
          <w:szCs w:val="16"/>
        </w:rPr>
        <w:t xml:space="preserve">1 </w:t>
      </w:r>
      <w:r w:rsidRPr="003803E7">
        <w:rPr>
          <w:rFonts w:ascii="Times New Roman" w:hAnsi="Times New Roman"/>
          <w:spacing w:val="-2"/>
          <w:sz w:val="16"/>
          <w:szCs w:val="16"/>
        </w:rPr>
        <w:t>StPO). Findet keine Beschränkung statt,</w:t>
      </w:r>
      <w:r w:rsidR="000A3381">
        <w:rPr>
          <w:rFonts w:ascii="Times New Roman" w:hAnsi="Times New Roman"/>
          <w:spacing w:val="-2"/>
          <w:sz w:val="16"/>
          <w:szCs w:val="16"/>
        </w:rPr>
        <w:t xml:space="preserve"> oder ist die Beschränkung unwirksam,</w:t>
      </w:r>
      <w:r w:rsidRPr="003803E7">
        <w:rPr>
          <w:rFonts w:ascii="Times New Roman" w:hAnsi="Times New Roman"/>
          <w:spacing w:val="-2"/>
          <w:sz w:val="16"/>
          <w:szCs w:val="16"/>
        </w:rPr>
        <w:t xml:space="preserve"> wird das gesamte Urteil überprüft.</w:t>
      </w:r>
    </w:p>
    <w:p w14:paraId="09CA10AC" w14:textId="31CE3695" w:rsidR="00752D8D" w:rsidRPr="003803E7" w:rsidRDefault="00752D8D" w:rsidP="00DA0062">
      <w:pPr>
        <w:widowControl/>
        <w:tabs>
          <w:tab w:val="left" w:pos="-720"/>
          <w:tab w:val="left" w:pos="0"/>
          <w:tab w:val="left" w:pos="284"/>
          <w:tab w:val="left" w:pos="864"/>
          <w:tab w:val="left" w:pos="1116"/>
          <w:tab w:val="left" w:pos="1404"/>
          <w:tab w:val="left" w:pos="1692"/>
          <w:tab w:val="left" w:pos="1980"/>
          <w:tab w:val="left" w:pos="2268"/>
          <w:tab w:val="left" w:pos="2880"/>
        </w:tabs>
        <w:ind w:left="284" w:hanging="284"/>
        <w:jc w:val="both"/>
        <w:rPr>
          <w:rFonts w:ascii="Times New Roman" w:hAnsi="Times New Roman"/>
          <w:spacing w:val="-2"/>
          <w:sz w:val="16"/>
          <w:szCs w:val="16"/>
        </w:rPr>
      </w:pPr>
      <w:r w:rsidRPr="003803E7">
        <w:rPr>
          <w:rFonts w:ascii="Times New Roman" w:hAnsi="Times New Roman"/>
          <w:b/>
          <w:spacing w:val="-2"/>
          <w:sz w:val="16"/>
          <w:szCs w:val="16"/>
        </w:rPr>
        <w:t xml:space="preserve">IX. </w:t>
      </w:r>
      <w:r w:rsidR="00463B06">
        <w:rPr>
          <w:rFonts w:ascii="Times New Roman" w:hAnsi="Times New Roman"/>
          <w:b/>
          <w:spacing w:val="-2"/>
          <w:sz w:val="16"/>
          <w:szCs w:val="16"/>
        </w:rPr>
        <w:tab/>
      </w:r>
      <w:r w:rsidRPr="003803E7">
        <w:rPr>
          <w:rFonts w:ascii="Times New Roman" w:hAnsi="Times New Roman"/>
          <w:b/>
          <w:spacing w:val="-2"/>
          <w:sz w:val="16"/>
          <w:szCs w:val="16"/>
        </w:rPr>
        <w:t xml:space="preserve">Rechtswirkungen: </w:t>
      </w:r>
      <w:r w:rsidRPr="003803E7">
        <w:rPr>
          <w:rFonts w:ascii="Times New Roman" w:hAnsi="Times New Roman"/>
          <w:spacing w:val="-2"/>
          <w:sz w:val="16"/>
          <w:szCs w:val="16"/>
        </w:rPr>
        <w:t>Suspensiveffekt (§</w:t>
      </w:r>
      <w:r w:rsidR="00463B06">
        <w:rPr>
          <w:rFonts w:ascii="Times New Roman" w:hAnsi="Times New Roman"/>
          <w:spacing w:val="-2"/>
          <w:sz w:val="16"/>
          <w:szCs w:val="16"/>
        </w:rPr>
        <w:t> </w:t>
      </w:r>
      <w:r w:rsidRPr="003803E7">
        <w:rPr>
          <w:rFonts w:ascii="Times New Roman" w:hAnsi="Times New Roman"/>
          <w:spacing w:val="-2"/>
          <w:sz w:val="16"/>
          <w:szCs w:val="16"/>
        </w:rPr>
        <w:t xml:space="preserve">316 I StPO), d.h. Hemmung der Rechtskraft, sowie Devolutiveffekt, d.h. die Berufung bringt die Sache in die </w:t>
      </w:r>
      <w:r w:rsidR="00C767A0" w:rsidRPr="003803E7">
        <w:rPr>
          <w:rFonts w:ascii="Times New Roman" w:hAnsi="Times New Roman"/>
          <w:spacing w:val="-2"/>
          <w:sz w:val="16"/>
          <w:szCs w:val="16"/>
        </w:rPr>
        <w:t>nächsthöhere</w:t>
      </w:r>
      <w:r w:rsidRPr="003803E7">
        <w:rPr>
          <w:rFonts w:ascii="Times New Roman" w:hAnsi="Times New Roman"/>
          <w:spacing w:val="-2"/>
          <w:sz w:val="16"/>
          <w:szCs w:val="16"/>
        </w:rPr>
        <w:t xml:space="preserve"> Instanz. </w:t>
      </w:r>
    </w:p>
    <w:p w14:paraId="27EE48B0" w14:textId="77777777" w:rsidR="00752D8D" w:rsidRPr="003803E7" w:rsidRDefault="00752D8D" w:rsidP="00DA0062">
      <w:pPr>
        <w:widowControl/>
        <w:tabs>
          <w:tab w:val="left" w:pos="-720"/>
          <w:tab w:val="left" w:pos="288"/>
          <w:tab w:val="left" w:pos="864"/>
          <w:tab w:val="left" w:pos="1116"/>
          <w:tab w:val="left" w:pos="1404"/>
          <w:tab w:val="left" w:pos="1692"/>
          <w:tab w:val="left" w:pos="1980"/>
          <w:tab w:val="left" w:pos="2268"/>
          <w:tab w:val="left" w:pos="2880"/>
        </w:tabs>
        <w:ind w:left="284" w:hanging="284"/>
        <w:jc w:val="both"/>
        <w:rPr>
          <w:rFonts w:ascii="Times New Roman" w:hAnsi="Times New Roman"/>
          <w:b/>
          <w:spacing w:val="-2"/>
          <w:sz w:val="16"/>
          <w:szCs w:val="16"/>
        </w:rPr>
      </w:pPr>
      <w:r w:rsidRPr="003803E7">
        <w:rPr>
          <w:rFonts w:ascii="Times New Roman" w:hAnsi="Times New Roman"/>
          <w:b/>
          <w:spacing w:val="-2"/>
          <w:sz w:val="16"/>
          <w:szCs w:val="16"/>
        </w:rPr>
        <w:t xml:space="preserve">X. </w:t>
      </w:r>
      <w:r w:rsidRPr="003803E7">
        <w:rPr>
          <w:rFonts w:ascii="Times New Roman" w:hAnsi="Times New Roman"/>
          <w:b/>
          <w:spacing w:val="-2"/>
          <w:sz w:val="16"/>
          <w:szCs w:val="16"/>
        </w:rPr>
        <w:tab/>
        <w:t>Ablauf des Verfahrens</w:t>
      </w:r>
    </w:p>
    <w:p w14:paraId="7B67563C" w14:textId="4F10CF6A" w:rsidR="00752D8D" w:rsidRPr="003803E7" w:rsidRDefault="00752D8D" w:rsidP="00DA0062">
      <w:pPr>
        <w:widowControl/>
        <w:tabs>
          <w:tab w:val="left" w:pos="-720"/>
          <w:tab w:val="left" w:pos="567"/>
          <w:tab w:val="left" w:pos="864"/>
          <w:tab w:val="left" w:pos="1116"/>
          <w:tab w:val="left" w:pos="1404"/>
          <w:tab w:val="left" w:pos="1692"/>
          <w:tab w:val="left" w:pos="1980"/>
          <w:tab w:val="left" w:pos="2268"/>
          <w:tab w:val="left" w:pos="2880"/>
        </w:tabs>
        <w:ind w:left="567" w:hanging="282"/>
        <w:jc w:val="both"/>
        <w:rPr>
          <w:rFonts w:ascii="Times New Roman" w:hAnsi="Times New Roman"/>
          <w:spacing w:val="-2"/>
          <w:sz w:val="16"/>
          <w:szCs w:val="16"/>
        </w:rPr>
      </w:pPr>
      <w:r w:rsidRPr="003803E7">
        <w:rPr>
          <w:rFonts w:ascii="Times New Roman" w:hAnsi="Times New Roman"/>
          <w:spacing w:val="-2"/>
          <w:sz w:val="16"/>
          <w:szCs w:val="16"/>
          <w:u w:val="single"/>
        </w:rPr>
        <w:t xml:space="preserve">1. </w:t>
      </w:r>
      <w:r w:rsidRPr="003803E7">
        <w:rPr>
          <w:rFonts w:ascii="Times New Roman" w:hAnsi="Times New Roman"/>
          <w:spacing w:val="-2"/>
          <w:sz w:val="16"/>
          <w:szCs w:val="16"/>
          <w:u w:val="single"/>
        </w:rPr>
        <w:tab/>
        <w:t>Ausgangsinstanz:</w:t>
      </w:r>
      <w:r w:rsidRPr="003803E7">
        <w:rPr>
          <w:rFonts w:ascii="Times New Roman" w:hAnsi="Times New Roman"/>
          <w:spacing w:val="-2"/>
          <w:sz w:val="16"/>
          <w:szCs w:val="16"/>
        </w:rPr>
        <w:t xml:space="preserve"> Das Amtsgericht prüft die </w:t>
      </w:r>
      <w:r w:rsidRPr="003803E7">
        <w:rPr>
          <w:rFonts w:ascii="Times New Roman" w:hAnsi="Times New Roman"/>
          <w:b/>
          <w:spacing w:val="-2"/>
          <w:sz w:val="16"/>
          <w:szCs w:val="16"/>
        </w:rPr>
        <w:t>Rechtzeitigkeit</w:t>
      </w:r>
      <w:r w:rsidRPr="003803E7">
        <w:rPr>
          <w:rFonts w:ascii="Times New Roman" w:hAnsi="Times New Roman"/>
          <w:spacing w:val="-2"/>
          <w:sz w:val="16"/>
          <w:szCs w:val="16"/>
        </w:rPr>
        <w:t xml:space="preserve"> der Einlegung und leitet die Berufung dann weiter. Ist die Berufung verspätet eingelegt, so </w:t>
      </w:r>
      <w:r w:rsidRPr="003803E7">
        <w:rPr>
          <w:rFonts w:ascii="Times New Roman" w:hAnsi="Times New Roman"/>
          <w:b/>
          <w:spacing w:val="-2"/>
          <w:sz w:val="16"/>
          <w:szCs w:val="16"/>
        </w:rPr>
        <w:t xml:space="preserve">verwirft </w:t>
      </w:r>
      <w:r w:rsidRPr="003803E7">
        <w:rPr>
          <w:rFonts w:ascii="Times New Roman" w:hAnsi="Times New Roman"/>
          <w:spacing w:val="-2"/>
          <w:sz w:val="16"/>
          <w:szCs w:val="16"/>
        </w:rPr>
        <w:t xml:space="preserve">das Amtsgericht die Berufung </w:t>
      </w:r>
      <w:r w:rsidRPr="003803E7">
        <w:rPr>
          <w:rFonts w:ascii="Times New Roman" w:hAnsi="Times New Roman"/>
          <w:b/>
          <w:spacing w:val="-2"/>
          <w:sz w:val="16"/>
          <w:szCs w:val="16"/>
        </w:rPr>
        <w:t>als unzulässig</w:t>
      </w:r>
      <w:r w:rsidR="003F75E7" w:rsidRPr="00C84501">
        <w:rPr>
          <w:rFonts w:ascii="Times New Roman" w:hAnsi="Times New Roman"/>
          <w:spacing w:val="-2"/>
          <w:sz w:val="16"/>
          <w:szCs w:val="16"/>
        </w:rPr>
        <w:t>, §</w:t>
      </w:r>
      <w:r w:rsidR="00463B06">
        <w:rPr>
          <w:rFonts w:ascii="Times New Roman" w:hAnsi="Times New Roman"/>
          <w:spacing w:val="-2"/>
          <w:sz w:val="16"/>
          <w:szCs w:val="16"/>
        </w:rPr>
        <w:t> </w:t>
      </w:r>
      <w:r w:rsidR="003F75E7" w:rsidRPr="00C84501">
        <w:rPr>
          <w:rFonts w:ascii="Times New Roman" w:hAnsi="Times New Roman"/>
          <w:spacing w:val="-2"/>
          <w:sz w:val="16"/>
          <w:szCs w:val="16"/>
        </w:rPr>
        <w:t>319 I StPO</w:t>
      </w:r>
      <w:r w:rsidRPr="003803E7">
        <w:rPr>
          <w:rFonts w:ascii="Times New Roman" w:hAnsi="Times New Roman"/>
          <w:spacing w:val="-2"/>
          <w:sz w:val="16"/>
          <w:szCs w:val="16"/>
        </w:rPr>
        <w:t>.</w:t>
      </w:r>
    </w:p>
    <w:p w14:paraId="466434E2" w14:textId="55F960C5" w:rsidR="00752D8D" w:rsidRPr="003803E7" w:rsidRDefault="00752D8D" w:rsidP="00DA0062">
      <w:pPr>
        <w:widowControl/>
        <w:tabs>
          <w:tab w:val="left" w:pos="-720"/>
          <w:tab w:val="left" w:pos="288"/>
          <w:tab w:val="left" w:pos="567"/>
          <w:tab w:val="left" w:pos="864"/>
          <w:tab w:val="left" w:pos="1116"/>
          <w:tab w:val="left" w:pos="1404"/>
          <w:tab w:val="left" w:pos="1692"/>
          <w:tab w:val="left" w:pos="1980"/>
          <w:tab w:val="left" w:pos="2268"/>
          <w:tab w:val="left" w:pos="2880"/>
        </w:tabs>
        <w:ind w:left="567" w:hanging="282"/>
        <w:jc w:val="both"/>
        <w:rPr>
          <w:rFonts w:ascii="Times New Roman" w:hAnsi="Times New Roman"/>
          <w:spacing w:val="-2"/>
          <w:sz w:val="16"/>
          <w:szCs w:val="16"/>
        </w:rPr>
      </w:pPr>
      <w:r w:rsidRPr="003803E7">
        <w:rPr>
          <w:rFonts w:ascii="Times New Roman" w:hAnsi="Times New Roman"/>
          <w:spacing w:val="-2"/>
          <w:sz w:val="16"/>
          <w:szCs w:val="16"/>
          <w:u w:val="single"/>
        </w:rPr>
        <w:t>2.</w:t>
      </w:r>
      <w:r w:rsidRPr="003803E7">
        <w:rPr>
          <w:rFonts w:ascii="Times New Roman" w:hAnsi="Times New Roman"/>
          <w:spacing w:val="-2"/>
          <w:sz w:val="16"/>
          <w:szCs w:val="16"/>
          <w:u w:val="single"/>
        </w:rPr>
        <w:tab/>
        <w:t>Zulässigkeitsprüfung:</w:t>
      </w:r>
      <w:r w:rsidRPr="003803E7">
        <w:rPr>
          <w:rFonts w:ascii="Times New Roman" w:hAnsi="Times New Roman"/>
          <w:b/>
          <w:spacing w:val="-2"/>
          <w:sz w:val="16"/>
          <w:szCs w:val="16"/>
        </w:rPr>
        <w:t xml:space="preserve"> </w:t>
      </w:r>
      <w:r w:rsidRPr="003803E7">
        <w:rPr>
          <w:rFonts w:ascii="Times New Roman" w:hAnsi="Times New Roman"/>
          <w:spacing w:val="-2"/>
          <w:sz w:val="16"/>
          <w:szCs w:val="16"/>
        </w:rPr>
        <w:t xml:space="preserve">Erachtet das Berufungsgericht die Berufung als </w:t>
      </w:r>
      <w:r w:rsidRPr="003803E7">
        <w:rPr>
          <w:rFonts w:ascii="Times New Roman" w:hAnsi="Times New Roman"/>
          <w:b/>
          <w:spacing w:val="-2"/>
          <w:sz w:val="16"/>
          <w:szCs w:val="16"/>
        </w:rPr>
        <w:t>unzulässig</w:t>
      </w:r>
      <w:r w:rsidRPr="003803E7">
        <w:rPr>
          <w:rFonts w:ascii="Times New Roman" w:hAnsi="Times New Roman"/>
          <w:spacing w:val="-2"/>
          <w:sz w:val="16"/>
          <w:szCs w:val="16"/>
        </w:rPr>
        <w:t>, kann es sie nach §</w:t>
      </w:r>
      <w:r w:rsidR="00463B06">
        <w:rPr>
          <w:rFonts w:ascii="Times New Roman" w:hAnsi="Times New Roman"/>
          <w:spacing w:val="-2"/>
          <w:sz w:val="16"/>
          <w:szCs w:val="16"/>
        </w:rPr>
        <w:t> </w:t>
      </w:r>
      <w:r w:rsidRPr="003803E7">
        <w:rPr>
          <w:rFonts w:ascii="Times New Roman" w:hAnsi="Times New Roman"/>
          <w:spacing w:val="-2"/>
          <w:sz w:val="16"/>
          <w:szCs w:val="16"/>
        </w:rPr>
        <w:t xml:space="preserve">322 StPO ohne mündliche Verhandlung durch Beschluss als </w:t>
      </w:r>
      <w:r w:rsidRPr="003803E7">
        <w:rPr>
          <w:rFonts w:ascii="Times New Roman" w:hAnsi="Times New Roman"/>
          <w:b/>
          <w:spacing w:val="-2"/>
          <w:sz w:val="16"/>
          <w:szCs w:val="16"/>
        </w:rPr>
        <w:t>unzulässig verwerfen</w:t>
      </w:r>
      <w:r w:rsidRPr="003803E7">
        <w:rPr>
          <w:rFonts w:ascii="Times New Roman" w:hAnsi="Times New Roman"/>
          <w:spacing w:val="-2"/>
          <w:sz w:val="16"/>
          <w:szCs w:val="16"/>
        </w:rPr>
        <w:t>. Ist die Berufung zulässig, wird gegebenenfalls über eine Annahme (§§</w:t>
      </w:r>
      <w:r w:rsidR="00463B06">
        <w:rPr>
          <w:rFonts w:ascii="Times New Roman" w:hAnsi="Times New Roman"/>
          <w:spacing w:val="-2"/>
          <w:sz w:val="16"/>
          <w:szCs w:val="16"/>
        </w:rPr>
        <w:t> </w:t>
      </w:r>
      <w:r w:rsidRPr="003803E7">
        <w:rPr>
          <w:rFonts w:ascii="Times New Roman" w:hAnsi="Times New Roman"/>
          <w:spacing w:val="-2"/>
          <w:sz w:val="16"/>
          <w:szCs w:val="16"/>
        </w:rPr>
        <w:t>313, 322a StPO) entschieden. Stellt sich erst im Laufe der Zeit ein Verfahrenshindernis ein, so kann das Gericht nach §</w:t>
      </w:r>
      <w:r w:rsidR="00463B06">
        <w:rPr>
          <w:rFonts w:ascii="Times New Roman" w:hAnsi="Times New Roman"/>
          <w:spacing w:val="-2"/>
          <w:sz w:val="16"/>
          <w:szCs w:val="16"/>
        </w:rPr>
        <w:t> </w:t>
      </w:r>
      <w:r w:rsidRPr="003803E7">
        <w:rPr>
          <w:rFonts w:ascii="Times New Roman" w:hAnsi="Times New Roman"/>
          <w:spacing w:val="-2"/>
          <w:sz w:val="16"/>
          <w:szCs w:val="16"/>
        </w:rPr>
        <w:t>206a StPO jederzeit das Verfahren außerhalb der Hauptverhandlung durch Beschluss einstellen.</w:t>
      </w:r>
    </w:p>
    <w:p w14:paraId="0D4D89F6" w14:textId="5B024F24" w:rsidR="003E53A9" w:rsidRPr="003803E7" w:rsidRDefault="00752D8D" w:rsidP="00DA0062">
      <w:pPr>
        <w:widowControl/>
        <w:tabs>
          <w:tab w:val="left" w:pos="-720"/>
          <w:tab w:val="left" w:pos="288"/>
          <w:tab w:val="left" w:pos="567"/>
          <w:tab w:val="left" w:pos="864"/>
          <w:tab w:val="left" w:pos="1116"/>
          <w:tab w:val="left" w:pos="1404"/>
          <w:tab w:val="left" w:pos="1692"/>
          <w:tab w:val="left" w:pos="1980"/>
          <w:tab w:val="left" w:pos="2268"/>
          <w:tab w:val="left" w:pos="2880"/>
        </w:tabs>
        <w:ind w:left="567" w:hanging="283"/>
        <w:jc w:val="both"/>
        <w:rPr>
          <w:rFonts w:ascii="Times New Roman" w:hAnsi="Times New Roman"/>
          <w:spacing w:val="-2"/>
          <w:sz w:val="16"/>
          <w:szCs w:val="16"/>
        </w:rPr>
      </w:pPr>
      <w:r w:rsidRPr="003803E7">
        <w:rPr>
          <w:rFonts w:ascii="Times New Roman" w:hAnsi="Times New Roman"/>
          <w:spacing w:val="-2"/>
          <w:sz w:val="16"/>
          <w:szCs w:val="16"/>
          <w:u w:val="single"/>
        </w:rPr>
        <w:t>3.</w:t>
      </w:r>
      <w:r w:rsidRPr="003803E7">
        <w:rPr>
          <w:rFonts w:ascii="Times New Roman" w:hAnsi="Times New Roman"/>
          <w:b/>
          <w:spacing w:val="-2"/>
          <w:sz w:val="16"/>
          <w:szCs w:val="16"/>
          <w:u w:val="single"/>
        </w:rPr>
        <w:t xml:space="preserve"> </w:t>
      </w:r>
      <w:r w:rsidRPr="003803E7">
        <w:rPr>
          <w:rFonts w:ascii="Times New Roman" w:hAnsi="Times New Roman"/>
          <w:b/>
          <w:spacing w:val="-2"/>
          <w:sz w:val="16"/>
          <w:szCs w:val="16"/>
          <w:u w:val="single"/>
        </w:rPr>
        <w:tab/>
      </w:r>
      <w:r w:rsidRPr="003803E7">
        <w:rPr>
          <w:rFonts w:ascii="Times New Roman" w:hAnsi="Times New Roman"/>
          <w:spacing w:val="-2"/>
          <w:sz w:val="16"/>
          <w:szCs w:val="16"/>
          <w:u w:val="single"/>
        </w:rPr>
        <w:t>Hauptverhandlung:</w:t>
      </w:r>
      <w:r w:rsidRPr="003803E7">
        <w:rPr>
          <w:rFonts w:ascii="Times New Roman" w:hAnsi="Times New Roman"/>
          <w:b/>
          <w:spacing w:val="-2"/>
          <w:sz w:val="16"/>
          <w:szCs w:val="16"/>
        </w:rPr>
        <w:t xml:space="preserve"> </w:t>
      </w:r>
      <w:r w:rsidRPr="003803E7">
        <w:rPr>
          <w:rFonts w:ascii="Times New Roman" w:hAnsi="Times New Roman"/>
          <w:spacing w:val="-2"/>
          <w:sz w:val="16"/>
          <w:szCs w:val="16"/>
        </w:rPr>
        <w:t>entspricht im Wesentlichen derjenigen der ersten Instanz (§§</w:t>
      </w:r>
      <w:r w:rsidR="00463B06">
        <w:rPr>
          <w:rFonts w:ascii="Times New Roman" w:hAnsi="Times New Roman"/>
          <w:spacing w:val="-2"/>
          <w:sz w:val="16"/>
          <w:szCs w:val="16"/>
        </w:rPr>
        <w:t> </w:t>
      </w:r>
      <w:r w:rsidRPr="003803E7">
        <w:rPr>
          <w:rFonts w:ascii="Times New Roman" w:hAnsi="Times New Roman"/>
          <w:spacing w:val="-2"/>
          <w:sz w:val="16"/>
          <w:szCs w:val="16"/>
        </w:rPr>
        <w:t>323, 324, 325 StPO).</w:t>
      </w:r>
    </w:p>
    <w:p w14:paraId="72B25D42" w14:textId="26604125" w:rsidR="00FF4EF9" w:rsidRPr="003803E7" w:rsidRDefault="003E53A9" w:rsidP="00FF4EF9">
      <w:pPr>
        <w:widowControl/>
        <w:tabs>
          <w:tab w:val="left" w:pos="-720"/>
          <w:tab w:val="left" w:pos="288"/>
          <w:tab w:val="left" w:pos="567"/>
          <w:tab w:val="left" w:pos="864"/>
          <w:tab w:val="left" w:pos="1116"/>
          <w:tab w:val="left" w:pos="1404"/>
          <w:tab w:val="left" w:pos="1692"/>
          <w:tab w:val="left" w:pos="1980"/>
          <w:tab w:val="left" w:pos="2268"/>
          <w:tab w:val="left" w:pos="2880"/>
        </w:tabs>
        <w:ind w:left="567" w:hanging="283"/>
        <w:jc w:val="both"/>
        <w:rPr>
          <w:rFonts w:ascii="Times New Roman" w:hAnsi="Times New Roman"/>
          <w:spacing w:val="-2"/>
          <w:sz w:val="16"/>
          <w:szCs w:val="16"/>
        </w:rPr>
      </w:pPr>
      <w:r w:rsidRPr="003803E7">
        <w:rPr>
          <w:rFonts w:ascii="Times New Roman" w:hAnsi="Times New Roman"/>
          <w:spacing w:val="-2"/>
          <w:sz w:val="16"/>
          <w:szCs w:val="16"/>
        </w:rPr>
        <w:tab/>
      </w:r>
      <w:r w:rsidR="00FF4EF9">
        <w:rPr>
          <w:rFonts w:ascii="Times New Roman" w:hAnsi="Times New Roman"/>
          <w:spacing w:val="-2"/>
          <w:sz w:val="16"/>
          <w:szCs w:val="16"/>
        </w:rPr>
        <w:tab/>
      </w:r>
      <w:r w:rsidR="002A08E8">
        <w:rPr>
          <w:rFonts w:ascii="Times New Roman" w:hAnsi="Times New Roman"/>
          <w:spacing w:val="-2"/>
          <w:sz w:val="16"/>
          <w:szCs w:val="16"/>
        </w:rPr>
        <w:t xml:space="preserve">Zu beachten ist, wie bei </w:t>
      </w:r>
      <w:r w:rsidRPr="003803E7">
        <w:rPr>
          <w:rFonts w:ascii="Times New Roman" w:hAnsi="Times New Roman"/>
          <w:b/>
          <w:spacing w:val="-2"/>
          <w:sz w:val="16"/>
          <w:szCs w:val="16"/>
        </w:rPr>
        <w:t>Ausbleiben des Angeklagten</w:t>
      </w:r>
      <w:r w:rsidR="002A08E8">
        <w:rPr>
          <w:rFonts w:ascii="Times New Roman" w:hAnsi="Times New Roman"/>
          <w:spacing w:val="-2"/>
          <w:sz w:val="16"/>
          <w:szCs w:val="16"/>
        </w:rPr>
        <w:t xml:space="preserve"> zu verfahren ist</w:t>
      </w:r>
      <w:r w:rsidRPr="003803E7">
        <w:rPr>
          <w:rFonts w:ascii="Times New Roman" w:hAnsi="Times New Roman"/>
          <w:spacing w:val="-2"/>
          <w:sz w:val="16"/>
          <w:szCs w:val="16"/>
        </w:rPr>
        <w:t>: Nachdem der EGMR (</w:t>
      </w:r>
      <w:r w:rsidR="00405589" w:rsidRPr="003803E7">
        <w:rPr>
          <w:rFonts w:ascii="Times New Roman" w:hAnsi="Times New Roman"/>
          <w:b/>
          <w:spacing w:val="-2"/>
          <w:sz w:val="16"/>
          <w:szCs w:val="16"/>
        </w:rPr>
        <w:t>EGMR NStZ 2013, 350</w:t>
      </w:r>
      <w:r w:rsidR="000A3381">
        <w:rPr>
          <w:rFonts w:ascii="Times New Roman" w:hAnsi="Times New Roman"/>
          <w:b/>
          <w:spacing w:val="-2"/>
          <w:sz w:val="16"/>
          <w:szCs w:val="16"/>
        </w:rPr>
        <w:t xml:space="preserve"> – Neziraj</w:t>
      </w:r>
      <w:r w:rsidRPr="003803E7">
        <w:rPr>
          <w:rFonts w:ascii="Times New Roman" w:hAnsi="Times New Roman"/>
          <w:spacing w:val="-2"/>
          <w:sz w:val="16"/>
          <w:szCs w:val="16"/>
        </w:rPr>
        <w:t xml:space="preserve">) </w:t>
      </w:r>
      <w:r w:rsidR="005414EA" w:rsidRPr="003803E7">
        <w:rPr>
          <w:rFonts w:ascii="Times New Roman" w:hAnsi="Times New Roman"/>
          <w:spacing w:val="-2"/>
          <w:sz w:val="16"/>
          <w:szCs w:val="16"/>
        </w:rPr>
        <w:t>einen Verstoß des §</w:t>
      </w:r>
      <w:r w:rsidR="00463B06">
        <w:rPr>
          <w:rFonts w:ascii="Times New Roman" w:hAnsi="Times New Roman"/>
          <w:spacing w:val="-2"/>
          <w:sz w:val="16"/>
          <w:szCs w:val="16"/>
        </w:rPr>
        <w:t> </w:t>
      </w:r>
      <w:r w:rsidR="005414EA" w:rsidRPr="003803E7">
        <w:rPr>
          <w:rFonts w:ascii="Times New Roman" w:hAnsi="Times New Roman"/>
          <w:spacing w:val="-2"/>
          <w:sz w:val="16"/>
          <w:szCs w:val="16"/>
        </w:rPr>
        <w:t xml:space="preserve">329 I 1 </w:t>
      </w:r>
      <w:r w:rsidR="003F75E7">
        <w:rPr>
          <w:rFonts w:ascii="Times New Roman" w:hAnsi="Times New Roman"/>
          <w:spacing w:val="-2"/>
          <w:sz w:val="16"/>
          <w:szCs w:val="16"/>
        </w:rPr>
        <w:t xml:space="preserve">StPO </w:t>
      </w:r>
      <w:r w:rsidR="005414EA" w:rsidRPr="003803E7">
        <w:rPr>
          <w:rFonts w:ascii="Times New Roman" w:hAnsi="Times New Roman"/>
          <w:spacing w:val="-2"/>
          <w:sz w:val="16"/>
          <w:szCs w:val="16"/>
        </w:rPr>
        <w:t xml:space="preserve">a.F. gegen </w:t>
      </w:r>
      <w:r w:rsidRPr="003803E7">
        <w:rPr>
          <w:rFonts w:ascii="Times New Roman" w:hAnsi="Times New Roman"/>
          <w:spacing w:val="-2"/>
          <w:sz w:val="16"/>
          <w:szCs w:val="16"/>
        </w:rPr>
        <w:t>Art.</w:t>
      </w:r>
      <w:r w:rsidR="00463B06">
        <w:rPr>
          <w:rFonts w:ascii="Times New Roman" w:hAnsi="Times New Roman"/>
          <w:spacing w:val="-2"/>
          <w:sz w:val="16"/>
          <w:szCs w:val="16"/>
        </w:rPr>
        <w:t> </w:t>
      </w:r>
      <w:r w:rsidRPr="003803E7">
        <w:rPr>
          <w:rFonts w:ascii="Times New Roman" w:hAnsi="Times New Roman"/>
          <w:spacing w:val="-2"/>
          <w:sz w:val="16"/>
          <w:szCs w:val="16"/>
        </w:rPr>
        <w:t xml:space="preserve">6 III </w:t>
      </w:r>
      <w:proofErr w:type="spellStart"/>
      <w:r w:rsidRPr="003803E7">
        <w:rPr>
          <w:rFonts w:ascii="Times New Roman" w:hAnsi="Times New Roman"/>
          <w:spacing w:val="-2"/>
          <w:sz w:val="16"/>
          <w:szCs w:val="16"/>
        </w:rPr>
        <w:t>lit</w:t>
      </w:r>
      <w:proofErr w:type="spellEnd"/>
      <w:r w:rsidRPr="003803E7">
        <w:rPr>
          <w:rFonts w:ascii="Times New Roman" w:hAnsi="Times New Roman"/>
          <w:spacing w:val="-2"/>
          <w:sz w:val="16"/>
          <w:szCs w:val="16"/>
        </w:rPr>
        <w:t>.</w:t>
      </w:r>
      <w:r w:rsidR="00463B06">
        <w:rPr>
          <w:rFonts w:ascii="Times New Roman" w:hAnsi="Times New Roman"/>
          <w:spacing w:val="-2"/>
          <w:sz w:val="16"/>
          <w:szCs w:val="16"/>
        </w:rPr>
        <w:t> </w:t>
      </w:r>
      <w:r w:rsidRPr="003803E7">
        <w:rPr>
          <w:rFonts w:ascii="Times New Roman" w:hAnsi="Times New Roman"/>
          <w:spacing w:val="-2"/>
          <w:sz w:val="16"/>
          <w:szCs w:val="16"/>
        </w:rPr>
        <w:t xml:space="preserve">c </w:t>
      </w:r>
      <w:r w:rsidR="005414EA" w:rsidRPr="003803E7">
        <w:rPr>
          <w:rFonts w:ascii="Times New Roman" w:hAnsi="Times New Roman"/>
          <w:spacing w:val="-2"/>
          <w:sz w:val="16"/>
          <w:szCs w:val="16"/>
        </w:rPr>
        <w:t>EMRK festgestellt hatte, erweiterte der Gesetzgeber mit Gesetz vom 25. Juli 2015 (BGBl. I 1332) die Verteidigungsmöglichkeiten des Angeklagten im Termin zur Berufungsverhandlung</w:t>
      </w:r>
      <w:r w:rsidR="00FF4EF9">
        <w:rPr>
          <w:rFonts w:ascii="Times New Roman" w:hAnsi="Times New Roman"/>
          <w:spacing w:val="-2"/>
          <w:sz w:val="16"/>
          <w:szCs w:val="16"/>
        </w:rPr>
        <w:t xml:space="preserve">: </w:t>
      </w:r>
      <w:r w:rsidR="00FF4EF9" w:rsidRPr="00FF4EF9">
        <w:rPr>
          <w:rFonts w:ascii="Times New Roman" w:hAnsi="Times New Roman"/>
          <w:spacing w:val="-2"/>
          <w:sz w:val="16"/>
          <w:szCs w:val="16"/>
        </w:rPr>
        <w:t>Nunmehr findet die Hauptverhandlung gem. §</w:t>
      </w:r>
      <w:r w:rsidR="00463B06">
        <w:rPr>
          <w:rFonts w:ascii="Times New Roman" w:hAnsi="Times New Roman"/>
          <w:spacing w:val="-2"/>
          <w:sz w:val="16"/>
          <w:szCs w:val="16"/>
        </w:rPr>
        <w:t> </w:t>
      </w:r>
      <w:r w:rsidR="00FF4EF9" w:rsidRPr="00FF4EF9">
        <w:rPr>
          <w:rFonts w:ascii="Times New Roman" w:hAnsi="Times New Roman"/>
          <w:spacing w:val="-2"/>
          <w:sz w:val="16"/>
          <w:szCs w:val="16"/>
        </w:rPr>
        <w:t>329 Abs.</w:t>
      </w:r>
      <w:r w:rsidR="00463B06">
        <w:rPr>
          <w:rFonts w:ascii="Times New Roman" w:hAnsi="Times New Roman"/>
          <w:spacing w:val="-2"/>
          <w:sz w:val="16"/>
          <w:szCs w:val="16"/>
        </w:rPr>
        <w:t> </w:t>
      </w:r>
      <w:r w:rsidR="00FF4EF9" w:rsidRPr="00FF4EF9">
        <w:rPr>
          <w:rFonts w:ascii="Times New Roman" w:hAnsi="Times New Roman"/>
          <w:spacing w:val="-2"/>
          <w:sz w:val="16"/>
          <w:szCs w:val="16"/>
        </w:rPr>
        <w:t>2 S.</w:t>
      </w:r>
      <w:r w:rsidR="00463B06">
        <w:rPr>
          <w:rFonts w:ascii="Times New Roman" w:hAnsi="Times New Roman"/>
          <w:spacing w:val="-2"/>
          <w:sz w:val="16"/>
          <w:szCs w:val="16"/>
        </w:rPr>
        <w:t> </w:t>
      </w:r>
      <w:r w:rsidR="00FF4EF9" w:rsidRPr="00FF4EF9">
        <w:rPr>
          <w:rFonts w:ascii="Times New Roman" w:hAnsi="Times New Roman"/>
          <w:spacing w:val="-2"/>
          <w:sz w:val="16"/>
          <w:szCs w:val="16"/>
        </w:rPr>
        <w:t>1 Alt.</w:t>
      </w:r>
      <w:r w:rsidR="00463B06">
        <w:rPr>
          <w:rFonts w:ascii="Times New Roman" w:hAnsi="Times New Roman"/>
          <w:spacing w:val="-2"/>
          <w:sz w:val="16"/>
          <w:szCs w:val="16"/>
        </w:rPr>
        <w:t> </w:t>
      </w:r>
      <w:r w:rsidR="00FF4EF9" w:rsidRPr="00FF4EF9">
        <w:rPr>
          <w:rFonts w:ascii="Times New Roman" w:hAnsi="Times New Roman"/>
          <w:spacing w:val="-2"/>
          <w:sz w:val="16"/>
          <w:szCs w:val="16"/>
        </w:rPr>
        <w:t>1 StPO auch in Abwesenheit des Angeklagten statt, wenn seine Anwesenheit nicht erforderlich ist und er durch einen Verteidiger mit nachgewiesener Vertretungsvollmacht vertreten wird. Die Vertretungsvollmacht muss den Verteidiger zur Abwe</w:t>
      </w:r>
      <w:r w:rsidR="00FF4EF9">
        <w:rPr>
          <w:rFonts w:ascii="Times New Roman" w:hAnsi="Times New Roman"/>
          <w:spacing w:val="-2"/>
          <w:sz w:val="16"/>
          <w:szCs w:val="16"/>
        </w:rPr>
        <w:t>senheitsvertretung in einer (be</w:t>
      </w:r>
      <w:r w:rsidR="00FF4EF9" w:rsidRPr="00FF4EF9">
        <w:rPr>
          <w:rFonts w:ascii="Times New Roman" w:hAnsi="Times New Roman"/>
          <w:spacing w:val="-2"/>
          <w:sz w:val="16"/>
          <w:szCs w:val="16"/>
        </w:rPr>
        <w:t>stimmt bezeichneten) Berufungshauptverhandlung ermächtigen;</w:t>
      </w:r>
      <w:r w:rsidR="00FF4EF9">
        <w:rPr>
          <w:rFonts w:ascii="Times New Roman" w:hAnsi="Times New Roman"/>
          <w:spacing w:val="-2"/>
          <w:sz w:val="16"/>
          <w:szCs w:val="16"/>
        </w:rPr>
        <w:t xml:space="preserve"> die allgemeine Verteidigervoll</w:t>
      </w:r>
      <w:r w:rsidR="00FF4EF9" w:rsidRPr="00FF4EF9">
        <w:rPr>
          <w:rFonts w:ascii="Times New Roman" w:hAnsi="Times New Roman"/>
          <w:spacing w:val="-2"/>
          <w:sz w:val="16"/>
          <w:szCs w:val="16"/>
        </w:rPr>
        <w:t>macht reicht insoweit nicht aus.</w:t>
      </w:r>
      <w:r w:rsidR="00FF4EF9">
        <w:rPr>
          <w:rFonts w:ascii="Times New Roman" w:hAnsi="Times New Roman"/>
          <w:spacing w:val="-2"/>
          <w:sz w:val="16"/>
          <w:szCs w:val="16"/>
        </w:rPr>
        <w:t xml:space="preserve"> </w:t>
      </w:r>
      <w:r w:rsidR="00FF4EF9" w:rsidRPr="00FF4EF9">
        <w:rPr>
          <w:rFonts w:ascii="Times New Roman" w:hAnsi="Times New Roman"/>
          <w:spacing w:val="-2"/>
          <w:sz w:val="16"/>
          <w:szCs w:val="16"/>
        </w:rPr>
        <w:t xml:space="preserve">Bei einer Berufung der </w:t>
      </w:r>
      <w:proofErr w:type="spellStart"/>
      <w:r w:rsidR="00FF4EF9" w:rsidRPr="00FF4EF9">
        <w:rPr>
          <w:rFonts w:ascii="Times New Roman" w:hAnsi="Times New Roman"/>
          <w:spacing w:val="-2"/>
          <w:sz w:val="16"/>
          <w:szCs w:val="16"/>
        </w:rPr>
        <w:t>StA</w:t>
      </w:r>
      <w:proofErr w:type="spellEnd"/>
      <w:r w:rsidR="00FF4EF9" w:rsidRPr="00FF4EF9">
        <w:rPr>
          <w:rFonts w:ascii="Times New Roman" w:hAnsi="Times New Roman"/>
          <w:spacing w:val="-2"/>
          <w:sz w:val="16"/>
          <w:szCs w:val="16"/>
        </w:rPr>
        <w:t xml:space="preserve"> ist eine Verhandlung in Abwesenheit des unentschuldigt ausgebliebenen Angeklagten auch ohne dessen Verteidiger möglich, soweit die Anwesenheit des Angeklagten nicht erforderlich ist, §</w:t>
      </w:r>
      <w:r w:rsidR="00463B06">
        <w:rPr>
          <w:rFonts w:ascii="Times New Roman" w:hAnsi="Times New Roman"/>
          <w:spacing w:val="-2"/>
          <w:sz w:val="16"/>
          <w:szCs w:val="16"/>
        </w:rPr>
        <w:t> </w:t>
      </w:r>
      <w:r w:rsidR="00FF4EF9" w:rsidRPr="00FF4EF9">
        <w:rPr>
          <w:rFonts w:ascii="Times New Roman" w:hAnsi="Times New Roman"/>
          <w:spacing w:val="-2"/>
          <w:sz w:val="16"/>
          <w:szCs w:val="16"/>
        </w:rPr>
        <w:t>329 Abs.</w:t>
      </w:r>
      <w:r w:rsidR="00463B06">
        <w:rPr>
          <w:rFonts w:ascii="Times New Roman" w:hAnsi="Times New Roman"/>
          <w:spacing w:val="-2"/>
          <w:sz w:val="16"/>
          <w:szCs w:val="16"/>
        </w:rPr>
        <w:t> </w:t>
      </w:r>
      <w:r w:rsidR="00FF4EF9" w:rsidRPr="00FF4EF9">
        <w:rPr>
          <w:rFonts w:ascii="Times New Roman" w:hAnsi="Times New Roman"/>
          <w:spacing w:val="-2"/>
          <w:sz w:val="16"/>
          <w:szCs w:val="16"/>
        </w:rPr>
        <w:t>2 S</w:t>
      </w:r>
      <w:r w:rsidR="00FF4EF9">
        <w:rPr>
          <w:rFonts w:ascii="Times New Roman" w:hAnsi="Times New Roman"/>
          <w:spacing w:val="-2"/>
          <w:sz w:val="16"/>
          <w:szCs w:val="16"/>
        </w:rPr>
        <w:t>.</w:t>
      </w:r>
      <w:r w:rsidR="00463B06">
        <w:rPr>
          <w:rFonts w:ascii="Times New Roman" w:hAnsi="Times New Roman"/>
          <w:spacing w:val="-2"/>
          <w:sz w:val="16"/>
          <w:szCs w:val="16"/>
        </w:rPr>
        <w:t> </w:t>
      </w:r>
      <w:r w:rsidR="00FF4EF9">
        <w:rPr>
          <w:rFonts w:ascii="Times New Roman" w:hAnsi="Times New Roman"/>
          <w:spacing w:val="-2"/>
          <w:sz w:val="16"/>
          <w:szCs w:val="16"/>
        </w:rPr>
        <w:t>1 Alt.</w:t>
      </w:r>
      <w:r w:rsidR="00463B06">
        <w:rPr>
          <w:rFonts w:ascii="Times New Roman" w:hAnsi="Times New Roman"/>
          <w:spacing w:val="-2"/>
          <w:sz w:val="16"/>
          <w:szCs w:val="16"/>
        </w:rPr>
        <w:t> </w:t>
      </w:r>
      <w:r w:rsidR="00FF4EF9">
        <w:rPr>
          <w:rFonts w:ascii="Times New Roman" w:hAnsi="Times New Roman"/>
          <w:spacing w:val="-2"/>
          <w:sz w:val="16"/>
          <w:szCs w:val="16"/>
        </w:rPr>
        <w:t>2 StPO.</w:t>
      </w:r>
      <w:r w:rsidR="00FF4EF9" w:rsidRPr="00FF4EF9">
        <w:rPr>
          <w:rFonts w:ascii="Times New Roman" w:hAnsi="Times New Roman"/>
          <w:spacing w:val="-2"/>
          <w:sz w:val="16"/>
          <w:szCs w:val="16"/>
        </w:rPr>
        <w:t xml:space="preserve"> </w:t>
      </w:r>
      <w:r w:rsidR="00D72220">
        <w:rPr>
          <w:rFonts w:ascii="Times New Roman" w:hAnsi="Times New Roman"/>
          <w:spacing w:val="-2"/>
          <w:sz w:val="16"/>
          <w:szCs w:val="16"/>
        </w:rPr>
        <w:t>Ob die Anwesenheit des Angeklagten erforderlich ist, ist</w:t>
      </w:r>
      <w:r w:rsidR="00D72220" w:rsidRPr="003803E7">
        <w:rPr>
          <w:rFonts w:ascii="Times New Roman" w:hAnsi="Times New Roman"/>
          <w:spacing w:val="-2"/>
          <w:sz w:val="16"/>
          <w:szCs w:val="16"/>
        </w:rPr>
        <w:t xml:space="preserve"> insbesondere nach der Amtsermittlungspflicht (§</w:t>
      </w:r>
      <w:r w:rsidR="00E23441">
        <w:rPr>
          <w:rFonts w:ascii="Times New Roman" w:hAnsi="Times New Roman"/>
          <w:spacing w:val="-2"/>
          <w:sz w:val="16"/>
          <w:szCs w:val="16"/>
        </w:rPr>
        <w:t> </w:t>
      </w:r>
      <w:r w:rsidR="00D72220" w:rsidRPr="003803E7">
        <w:rPr>
          <w:rFonts w:ascii="Times New Roman" w:hAnsi="Times New Roman"/>
          <w:spacing w:val="-2"/>
          <w:sz w:val="16"/>
          <w:szCs w:val="16"/>
        </w:rPr>
        <w:t xml:space="preserve">244 </w:t>
      </w:r>
      <w:r w:rsidR="00D72220">
        <w:rPr>
          <w:rFonts w:ascii="Times New Roman" w:hAnsi="Times New Roman"/>
          <w:spacing w:val="-2"/>
          <w:sz w:val="16"/>
          <w:szCs w:val="16"/>
        </w:rPr>
        <w:t>II</w:t>
      </w:r>
      <w:r w:rsidR="00D72220" w:rsidRPr="003803E7">
        <w:rPr>
          <w:rFonts w:ascii="Times New Roman" w:hAnsi="Times New Roman"/>
          <w:spacing w:val="-2"/>
          <w:sz w:val="16"/>
          <w:szCs w:val="16"/>
        </w:rPr>
        <w:t xml:space="preserve"> StPO)</w:t>
      </w:r>
      <w:r w:rsidR="00D72220">
        <w:rPr>
          <w:rFonts w:ascii="Times New Roman" w:hAnsi="Times New Roman"/>
          <w:spacing w:val="-2"/>
          <w:sz w:val="16"/>
          <w:szCs w:val="16"/>
        </w:rPr>
        <w:t xml:space="preserve"> zu bestimmen</w:t>
      </w:r>
      <w:r w:rsidR="00D72220" w:rsidRPr="003803E7">
        <w:rPr>
          <w:rFonts w:ascii="Times New Roman" w:hAnsi="Times New Roman"/>
          <w:spacing w:val="-2"/>
          <w:sz w:val="16"/>
          <w:szCs w:val="16"/>
        </w:rPr>
        <w:t>. In konventionsfreundlicher Auslegung wird man voraussetzen müssen, dass die Anwesenheit des Angeklagten zur Urteilsfindung wirklich unerlässlich ist (wie z.B. bei Gegenüberstellungen).</w:t>
      </w:r>
    </w:p>
    <w:p w14:paraId="3FB0A456" w14:textId="2A6D7F68" w:rsidR="00752D8D" w:rsidRPr="00D75BA4" w:rsidRDefault="00752D8D" w:rsidP="00DA0062">
      <w:pPr>
        <w:widowControl/>
        <w:tabs>
          <w:tab w:val="left" w:pos="-720"/>
          <w:tab w:val="left" w:pos="0"/>
          <w:tab w:val="left" w:pos="284"/>
          <w:tab w:val="left" w:pos="567"/>
          <w:tab w:val="left" w:pos="864"/>
          <w:tab w:val="left" w:pos="1116"/>
          <w:tab w:val="left" w:pos="1404"/>
          <w:tab w:val="left" w:pos="1692"/>
          <w:tab w:val="left" w:pos="1980"/>
          <w:tab w:val="left" w:pos="2268"/>
          <w:tab w:val="left" w:pos="2880"/>
        </w:tabs>
        <w:ind w:left="570" w:hanging="286"/>
        <w:jc w:val="both"/>
        <w:rPr>
          <w:rFonts w:ascii="Times New Roman" w:hAnsi="Times New Roman"/>
          <w:spacing w:val="-2"/>
          <w:sz w:val="18"/>
          <w:szCs w:val="18"/>
        </w:rPr>
      </w:pPr>
      <w:r w:rsidRPr="003803E7">
        <w:rPr>
          <w:rFonts w:ascii="Times New Roman" w:hAnsi="Times New Roman"/>
          <w:spacing w:val="-2"/>
          <w:sz w:val="16"/>
          <w:szCs w:val="16"/>
          <w:u w:val="single"/>
        </w:rPr>
        <w:t xml:space="preserve">4. </w:t>
      </w:r>
      <w:r w:rsidRPr="003803E7">
        <w:rPr>
          <w:rFonts w:ascii="Times New Roman" w:hAnsi="Times New Roman"/>
          <w:spacing w:val="-2"/>
          <w:sz w:val="16"/>
          <w:szCs w:val="16"/>
          <w:u w:val="single"/>
        </w:rPr>
        <w:tab/>
        <w:t>Entscheidung:</w:t>
      </w:r>
      <w:r w:rsidRPr="003803E7">
        <w:rPr>
          <w:rFonts w:ascii="Times New Roman" w:hAnsi="Times New Roman"/>
          <w:b/>
          <w:spacing w:val="-2"/>
          <w:sz w:val="16"/>
          <w:szCs w:val="16"/>
        </w:rPr>
        <w:t xml:space="preserve"> </w:t>
      </w:r>
      <w:r w:rsidRPr="003803E7">
        <w:rPr>
          <w:rFonts w:ascii="Times New Roman" w:hAnsi="Times New Roman"/>
          <w:spacing w:val="-2"/>
          <w:sz w:val="16"/>
          <w:szCs w:val="16"/>
        </w:rPr>
        <w:t>Stellt sich die Berufung nachträglich als unzulässig heraus, wird die Berufung als unzulässig verworfen; fehlt eine Prozessvoraussetzung, wird das Verfahren durch Urteil eingestellt (§</w:t>
      </w:r>
      <w:r w:rsidR="00E23441">
        <w:rPr>
          <w:rFonts w:ascii="Times New Roman" w:hAnsi="Times New Roman"/>
          <w:spacing w:val="-2"/>
          <w:sz w:val="16"/>
          <w:szCs w:val="16"/>
        </w:rPr>
        <w:t> </w:t>
      </w:r>
      <w:r w:rsidRPr="003803E7">
        <w:rPr>
          <w:rFonts w:ascii="Times New Roman" w:hAnsi="Times New Roman"/>
          <w:spacing w:val="-2"/>
          <w:sz w:val="16"/>
          <w:szCs w:val="16"/>
        </w:rPr>
        <w:t>260 III StPO). Ist die Berufung begründet, hebt das Gericht das erstinstanzliche Urteil auf und entscheidet selbst in der Sache (§</w:t>
      </w:r>
      <w:r w:rsidR="00E23441">
        <w:rPr>
          <w:rFonts w:ascii="Times New Roman" w:hAnsi="Times New Roman"/>
          <w:spacing w:val="-2"/>
          <w:sz w:val="16"/>
          <w:szCs w:val="16"/>
        </w:rPr>
        <w:t> </w:t>
      </w:r>
      <w:r w:rsidRPr="003803E7">
        <w:rPr>
          <w:rFonts w:ascii="Times New Roman" w:hAnsi="Times New Roman"/>
          <w:spacing w:val="-2"/>
          <w:sz w:val="16"/>
          <w:szCs w:val="16"/>
        </w:rPr>
        <w:t xml:space="preserve">328 I StPO). Dies gilt nur für den Angeklagten, der durch die Berufung betroffen ist, nicht für eventuelle Mitangeklagte der </w:t>
      </w:r>
      <w:r w:rsidR="00E23441">
        <w:rPr>
          <w:rFonts w:ascii="Times New Roman" w:hAnsi="Times New Roman"/>
          <w:spacing w:val="-2"/>
          <w:sz w:val="16"/>
          <w:szCs w:val="16"/>
        </w:rPr>
        <w:t>ersten</w:t>
      </w:r>
      <w:r w:rsidRPr="003803E7">
        <w:rPr>
          <w:rFonts w:ascii="Times New Roman" w:hAnsi="Times New Roman"/>
          <w:spacing w:val="-2"/>
          <w:sz w:val="16"/>
          <w:szCs w:val="16"/>
        </w:rPr>
        <w:t xml:space="preserve"> Instanz. Ist die Berufung teilweise begründet, wird das Urteil teilweise aufgehoben. Ist die Berufung unbegründet, wird sie als unbegründet verworfen.</w:t>
      </w:r>
    </w:p>
    <w:p w14:paraId="769D5EB7" w14:textId="77777777" w:rsidR="004A334C" w:rsidRPr="00C815EA" w:rsidRDefault="004A334C" w:rsidP="00DA0062">
      <w:pPr>
        <w:widowControl/>
        <w:tabs>
          <w:tab w:val="left" w:pos="-720"/>
          <w:tab w:val="left" w:pos="284"/>
          <w:tab w:val="left" w:pos="567"/>
          <w:tab w:val="left" w:pos="864"/>
          <w:tab w:val="left" w:pos="1116"/>
          <w:tab w:val="left" w:pos="1404"/>
          <w:tab w:val="left" w:pos="1692"/>
          <w:tab w:val="left" w:pos="1980"/>
          <w:tab w:val="left" w:pos="2268"/>
          <w:tab w:val="left" w:pos="2880"/>
        </w:tabs>
        <w:jc w:val="both"/>
        <w:rPr>
          <w:rFonts w:ascii="Times New Roman" w:hAnsi="Times New Roman"/>
          <w:b/>
          <w:spacing w:val="-2"/>
          <w:sz w:val="15"/>
          <w:szCs w:val="15"/>
        </w:rPr>
      </w:pPr>
    </w:p>
    <w:p w14:paraId="0E478CC4" w14:textId="1326E6DE" w:rsidR="00752D8D" w:rsidRPr="00A617B5" w:rsidRDefault="00752D8D" w:rsidP="00CC432B">
      <w:pPr>
        <w:widowControl/>
        <w:tabs>
          <w:tab w:val="left" w:pos="-720"/>
          <w:tab w:val="left" w:pos="-142"/>
          <w:tab w:val="left" w:pos="0"/>
          <w:tab w:val="left" w:pos="288"/>
          <w:tab w:val="left" w:pos="864"/>
          <w:tab w:val="left" w:pos="1116"/>
          <w:tab w:val="left" w:pos="1418"/>
          <w:tab w:val="left" w:pos="2268"/>
          <w:tab w:val="left" w:pos="2880"/>
        </w:tabs>
        <w:spacing w:line="216" w:lineRule="auto"/>
        <w:ind w:left="1276" w:hanging="1418"/>
        <w:jc w:val="both"/>
        <w:rPr>
          <w:rFonts w:ascii="Times New Roman" w:hAnsi="Times New Roman"/>
          <w:spacing w:val="-2"/>
          <w:sz w:val="15"/>
          <w:szCs w:val="15"/>
        </w:rPr>
      </w:pPr>
      <w:r w:rsidRPr="00A617B5">
        <w:rPr>
          <w:rFonts w:ascii="Times New Roman" w:hAnsi="Times New Roman"/>
          <w:b/>
          <w:spacing w:val="-2"/>
          <w:sz w:val="15"/>
          <w:szCs w:val="15"/>
        </w:rPr>
        <w:t xml:space="preserve">Literatur/Lehrbücher: </w:t>
      </w:r>
      <w:r w:rsidR="005A7E5F" w:rsidRPr="00A617B5">
        <w:rPr>
          <w:rFonts w:ascii="Times New Roman" w:hAnsi="Times New Roman"/>
          <w:b/>
          <w:spacing w:val="-2"/>
          <w:sz w:val="15"/>
          <w:szCs w:val="15"/>
        </w:rPr>
        <w:tab/>
      </w:r>
      <w:r w:rsidR="003D264A" w:rsidRPr="00A617B5">
        <w:rPr>
          <w:rFonts w:ascii="Times New Roman" w:hAnsi="Times New Roman"/>
          <w:i/>
          <w:spacing w:val="-2"/>
          <w:sz w:val="15"/>
          <w:szCs w:val="15"/>
        </w:rPr>
        <w:t>Heinrich/Reinbacher</w:t>
      </w:r>
      <w:r w:rsidR="003D264A" w:rsidRPr="00A617B5">
        <w:rPr>
          <w:rFonts w:ascii="Times New Roman" w:hAnsi="Times New Roman"/>
          <w:spacing w:val="-2"/>
          <w:sz w:val="15"/>
          <w:szCs w:val="15"/>
        </w:rPr>
        <w:t xml:space="preserve">, Examinatorium Strafprozessrecht, </w:t>
      </w:r>
      <w:r w:rsidR="004D47D0" w:rsidRPr="00A617B5">
        <w:rPr>
          <w:rFonts w:ascii="Times New Roman" w:hAnsi="Times New Roman"/>
          <w:spacing w:val="-2"/>
          <w:sz w:val="15"/>
          <w:szCs w:val="15"/>
        </w:rPr>
        <w:t>4</w:t>
      </w:r>
      <w:r w:rsidR="009A229D" w:rsidRPr="00A617B5">
        <w:rPr>
          <w:rFonts w:ascii="Times New Roman" w:hAnsi="Times New Roman"/>
          <w:spacing w:val="-2"/>
          <w:sz w:val="15"/>
          <w:szCs w:val="15"/>
        </w:rPr>
        <w:t>. Auflage 20</w:t>
      </w:r>
      <w:r w:rsidR="00CD0E7A" w:rsidRPr="00A617B5">
        <w:rPr>
          <w:rFonts w:ascii="Times New Roman" w:hAnsi="Times New Roman"/>
          <w:spacing w:val="-2"/>
          <w:sz w:val="15"/>
          <w:szCs w:val="15"/>
        </w:rPr>
        <w:t>2</w:t>
      </w:r>
      <w:r w:rsidR="004D47D0" w:rsidRPr="00A617B5">
        <w:rPr>
          <w:rFonts w:ascii="Times New Roman" w:hAnsi="Times New Roman"/>
          <w:spacing w:val="-2"/>
          <w:sz w:val="15"/>
          <w:szCs w:val="15"/>
        </w:rPr>
        <w:t>3</w:t>
      </w:r>
      <w:r w:rsidR="009A229D" w:rsidRPr="00A617B5">
        <w:rPr>
          <w:rFonts w:ascii="Times New Roman" w:hAnsi="Times New Roman"/>
          <w:spacing w:val="-2"/>
          <w:sz w:val="15"/>
          <w:szCs w:val="15"/>
        </w:rPr>
        <w:t xml:space="preserve">, </w:t>
      </w:r>
      <w:r w:rsidR="003D264A" w:rsidRPr="00A617B5">
        <w:rPr>
          <w:rFonts w:ascii="Times New Roman" w:hAnsi="Times New Roman"/>
          <w:spacing w:val="-2"/>
          <w:sz w:val="15"/>
          <w:szCs w:val="15"/>
        </w:rPr>
        <w:t>Problem 44.</w:t>
      </w:r>
    </w:p>
    <w:p w14:paraId="69EFFF76" w14:textId="77777777" w:rsidR="00752D8D" w:rsidRPr="00A617B5" w:rsidRDefault="00752D8D" w:rsidP="00CC432B">
      <w:pPr>
        <w:widowControl/>
        <w:tabs>
          <w:tab w:val="left" w:pos="-720"/>
          <w:tab w:val="left" w:pos="0"/>
          <w:tab w:val="left" w:pos="288"/>
          <w:tab w:val="left" w:pos="576"/>
          <w:tab w:val="left" w:pos="864"/>
          <w:tab w:val="left" w:pos="1116"/>
          <w:tab w:val="left" w:pos="1418"/>
          <w:tab w:val="left" w:pos="2268"/>
          <w:tab w:val="left" w:pos="2880"/>
        </w:tabs>
        <w:spacing w:line="216" w:lineRule="auto"/>
        <w:ind w:left="1440" w:hanging="1582"/>
        <w:jc w:val="both"/>
        <w:rPr>
          <w:rFonts w:ascii="Times New Roman" w:hAnsi="Times New Roman"/>
          <w:spacing w:val="-2"/>
          <w:sz w:val="15"/>
          <w:szCs w:val="15"/>
        </w:rPr>
      </w:pPr>
      <w:r w:rsidRPr="00A617B5">
        <w:rPr>
          <w:rFonts w:ascii="Times New Roman" w:hAnsi="Times New Roman"/>
          <w:b/>
          <w:spacing w:val="-2"/>
          <w:sz w:val="15"/>
          <w:szCs w:val="15"/>
        </w:rPr>
        <w:t>Literatur/Aufsätze:</w:t>
      </w:r>
      <w:r w:rsidR="003D264A" w:rsidRPr="00A617B5">
        <w:rPr>
          <w:rFonts w:ascii="Times New Roman" w:hAnsi="Times New Roman"/>
          <w:b/>
          <w:spacing w:val="-2"/>
          <w:sz w:val="15"/>
          <w:szCs w:val="15"/>
        </w:rPr>
        <w:tab/>
      </w:r>
      <w:r w:rsidR="005A7E5F" w:rsidRPr="00A617B5">
        <w:rPr>
          <w:rFonts w:ascii="Times New Roman" w:hAnsi="Times New Roman"/>
          <w:b/>
          <w:spacing w:val="-2"/>
          <w:sz w:val="15"/>
          <w:szCs w:val="15"/>
        </w:rPr>
        <w:tab/>
      </w:r>
      <w:r w:rsidR="00C815EA" w:rsidRPr="00A617B5">
        <w:rPr>
          <w:rFonts w:ascii="Times New Roman" w:hAnsi="Times New Roman"/>
          <w:i/>
          <w:spacing w:val="-2"/>
          <w:sz w:val="15"/>
          <w:szCs w:val="15"/>
        </w:rPr>
        <w:t>Böhm</w:t>
      </w:r>
      <w:r w:rsidR="00C815EA" w:rsidRPr="00A617B5">
        <w:rPr>
          <w:rFonts w:ascii="Times New Roman" w:hAnsi="Times New Roman"/>
          <w:spacing w:val="-2"/>
          <w:sz w:val="15"/>
          <w:szCs w:val="15"/>
        </w:rPr>
        <w:t>, Die strafrechtliche Abwesenheitsverhandlung im Berufungsverf</w:t>
      </w:r>
      <w:r w:rsidR="00D6798B" w:rsidRPr="00A617B5">
        <w:rPr>
          <w:rFonts w:ascii="Times New Roman" w:hAnsi="Times New Roman"/>
          <w:spacing w:val="-2"/>
          <w:sz w:val="15"/>
          <w:szCs w:val="15"/>
        </w:rPr>
        <w:t>ahren, NJW 2015, 3132;</w:t>
      </w:r>
      <w:r w:rsidR="00D457D6" w:rsidRPr="00A617B5">
        <w:rPr>
          <w:rFonts w:ascii="Times New Roman" w:hAnsi="Times New Roman"/>
          <w:spacing w:val="-2"/>
          <w:sz w:val="15"/>
          <w:szCs w:val="15"/>
        </w:rPr>
        <w:t xml:space="preserve"> </w:t>
      </w:r>
      <w:r w:rsidR="00D457D6" w:rsidRPr="00A617B5">
        <w:rPr>
          <w:rFonts w:ascii="Times New Roman" w:hAnsi="Times New Roman"/>
          <w:i/>
          <w:spacing w:val="-2"/>
          <w:sz w:val="15"/>
          <w:szCs w:val="15"/>
        </w:rPr>
        <w:t>Dreyer</w:t>
      </w:r>
      <w:r w:rsidR="00D457D6" w:rsidRPr="00A617B5">
        <w:rPr>
          <w:rFonts w:ascii="Times New Roman" w:hAnsi="Times New Roman"/>
          <w:spacing w:val="-2"/>
          <w:sz w:val="15"/>
          <w:szCs w:val="15"/>
        </w:rPr>
        <w:t xml:space="preserve">, Die Wirksamkeit von Rechtsmittelbeschränkungen in der Berufungsinstanz – Ein Dauerbrenner, NStZ 2018, 312; </w:t>
      </w:r>
      <w:r w:rsidR="00D6798B" w:rsidRPr="00A617B5">
        <w:rPr>
          <w:rFonts w:ascii="Times New Roman" w:hAnsi="Times New Roman"/>
          <w:bCs/>
          <w:i/>
          <w:spacing w:val="-2"/>
          <w:sz w:val="15"/>
          <w:szCs w:val="15"/>
        </w:rPr>
        <w:t>Engel</w:t>
      </w:r>
      <w:r w:rsidR="00D6798B" w:rsidRPr="00A617B5">
        <w:rPr>
          <w:rFonts w:ascii="Times New Roman" w:hAnsi="Times New Roman"/>
          <w:bCs/>
          <w:spacing w:val="-2"/>
          <w:sz w:val="15"/>
          <w:szCs w:val="15"/>
        </w:rPr>
        <w:t>, Die Berufungsverwerfung aufgrund Säumnis des Angeklagten im Lichte der jüngsten Rechtsprechung des EGMR sowie des OLG München, ZJS 2013, 339;</w:t>
      </w:r>
      <w:r w:rsidR="00D6798B" w:rsidRPr="00A617B5">
        <w:rPr>
          <w:rFonts w:ascii="Times New Roman" w:hAnsi="Times New Roman"/>
          <w:b/>
          <w:bCs/>
          <w:spacing w:val="-2"/>
          <w:sz w:val="15"/>
          <w:szCs w:val="15"/>
        </w:rPr>
        <w:t xml:space="preserve"> </w:t>
      </w:r>
      <w:r w:rsidR="00D6798B" w:rsidRPr="00A617B5">
        <w:rPr>
          <w:rFonts w:ascii="Times New Roman" w:hAnsi="Times New Roman"/>
          <w:bCs/>
          <w:i/>
          <w:spacing w:val="-2"/>
          <w:sz w:val="15"/>
          <w:szCs w:val="15"/>
        </w:rPr>
        <w:t>Esser</w:t>
      </w:r>
      <w:r w:rsidR="00D6798B" w:rsidRPr="00A617B5">
        <w:rPr>
          <w:rFonts w:ascii="Times New Roman" w:hAnsi="Times New Roman"/>
          <w:bCs/>
          <w:spacing w:val="-2"/>
          <w:sz w:val="15"/>
          <w:szCs w:val="15"/>
        </w:rPr>
        <w:t xml:space="preserve">, </w:t>
      </w:r>
      <w:r w:rsidR="00D6798B" w:rsidRPr="00A617B5">
        <w:rPr>
          <w:rFonts w:ascii="Times New Roman" w:hAnsi="Times New Roman"/>
          <w:spacing w:val="-2"/>
          <w:sz w:val="15"/>
          <w:szCs w:val="15"/>
        </w:rPr>
        <w:t>(Nichts) Neues aus Straßburg - Effektive Verteidigung bei Nichterscheinen des Angeklagten zu Beginn der Hauptverhandlung in der Berufungsinstanz (§ 329 Abs. 1 S. 1 StPO),</w:t>
      </w:r>
      <w:r w:rsidR="00D6798B" w:rsidRPr="00A617B5">
        <w:rPr>
          <w:rFonts w:ascii="Times New Roman" w:hAnsi="Times New Roman"/>
          <w:b/>
          <w:spacing w:val="-2"/>
          <w:sz w:val="15"/>
          <w:szCs w:val="15"/>
        </w:rPr>
        <w:t xml:space="preserve"> </w:t>
      </w:r>
      <w:r w:rsidR="00D6798B" w:rsidRPr="00A617B5">
        <w:rPr>
          <w:rFonts w:ascii="Times New Roman" w:hAnsi="Times New Roman"/>
          <w:spacing w:val="-2"/>
          <w:sz w:val="15"/>
          <w:szCs w:val="15"/>
        </w:rPr>
        <w:t>StV 2013, 331;</w:t>
      </w:r>
      <w:r w:rsidR="00D6798B" w:rsidRPr="00A617B5">
        <w:rPr>
          <w:rFonts w:ascii="Times New Roman" w:hAnsi="Times New Roman"/>
          <w:b/>
          <w:spacing w:val="-2"/>
          <w:sz w:val="15"/>
          <w:szCs w:val="15"/>
        </w:rPr>
        <w:t xml:space="preserve"> </w:t>
      </w:r>
      <w:r w:rsidR="00C815EA" w:rsidRPr="00A617B5">
        <w:rPr>
          <w:rFonts w:ascii="Times New Roman" w:hAnsi="Times New Roman"/>
          <w:i/>
          <w:spacing w:val="-2"/>
          <w:sz w:val="15"/>
          <w:szCs w:val="15"/>
        </w:rPr>
        <w:t>Frisch</w:t>
      </w:r>
      <w:r w:rsidR="00C815EA" w:rsidRPr="00A617B5">
        <w:rPr>
          <w:rFonts w:ascii="Times New Roman" w:hAnsi="Times New Roman"/>
          <w:spacing w:val="-2"/>
          <w:sz w:val="15"/>
          <w:szCs w:val="15"/>
        </w:rPr>
        <w:t>, Verwerfung der Berufung ohne Sachverhandlung und Recht auf Verteidigung – Zur Änderung des § 329 StPO, NStZ 2015, 69;</w:t>
      </w:r>
      <w:r w:rsidR="00D6798B" w:rsidRPr="00A617B5">
        <w:rPr>
          <w:rFonts w:ascii="Arial" w:hAnsi="Arial"/>
          <w:bCs/>
          <w:i/>
          <w:sz w:val="15"/>
          <w:szCs w:val="15"/>
        </w:rPr>
        <w:t xml:space="preserve"> </w:t>
      </w:r>
      <w:r w:rsidR="00CD0E7A" w:rsidRPr="00A617B5">
        <w:rPr>
          <w:rFonts w:ascii="Times New Roman" w:hAnsi="Times New Roman"/>
          <w:i/>
          <w:spacing w:val="-2"/>
          <w:sz w:val="15"/>
          <w:szCs w:val="15"/>
        </w:rPr>
        <w:t>Jansen</w:t>
      </w:r>
      <w:r w:rsidR="00CD0E7A" w:rsidRPr="00A617B5">
        <w:rPr>
          <w:rFonts w:ascii="Times New Roman" w:hAnsi="Times New Roman"/>
          <w:spacing w:val="-2"/>
          <w:sz w:val="15"/>
          <w:szCs w:val="15"/>
        </w:rPr>
        <w:t xml:space="preserve">, Verwerfung der Berufung trotz Verteidigung des abwesenden Angeklagten nach § 329 StPO n.F. – nunmehr konventionskonform?, StV 2020, 59; </w:t>
      </w:r>
      <w:r w:rsidRPr="00A617B5">
        <w:rPr>
          <w:rFonts w:ascii="Times New Roman" w:hAnsi="Times New Roman"/>
          <w:i/>
          <w:spacing w:val="-2"/>
          <w:sz w:val="15"/>
          <w:szCs w:val="15"/>
        </w:rPr>
        <w:t>Kudlich</w:t>
      </w:r>
      <w:r w:rsidRPr="00A617B5">
        <w:rPr>
          <w:rFonts w:ascii="Times New Roman" w:hAnsi="Times New Roman"/>
          <w:spacing w:val="-2"/>
          <w:sz w:val="15"/>
          <w:szCs w:val="15"/>
        </w:rPr>
        <w:t xml:space="preserve">, Aktuelle Probleme der strafprozessualen Berufung, JA 2000, 588; </w:t>
      </w:r>
      <w:proofErr w:type="spellStart"/>
      <w:r w:rsidRPr="00A617B5">
        <w:rPr>
          <w:rFonts w:ascii="Times New Roman" w:hAnsi="Times New Roman"/>
          <w:i/>
          <w:spacing w:val="-2"/>
          <w:sz w:val="15"/>
          <w:szCs w:val="15"/>
        </w:rPr>
        <w:t>ders</w:t>
      </w:r>
      <w:proofErr w:type="spellEnd"/>
      <w:r w:rsidRPr="00A617B5">
        <w:rPr>
          <w:rFonts w:ascii="Times New Roman" w:hAnsi="Times New Roman"/>
          <w:i/>
          <w:spacing w:val="-2"/>
          <w:sz w:val="15"/>
          <w:szCs w:val="15"/>
        </w:rPr>
        <w:t>.</w:t>
      </w:r>
      <w:r w:rsidRPr="00A617B5">
        <w:rPr>
          <w:rFonts w:ascii="Times New Roman" w:hAnsi="Times New Roman"/>
          <w:spacing w:val="-2"/>
          <w:sz w:val="15"/>
          <w:szCs w:val="15"/>
        </w:rPr>
        <w:t>, Zur Wirksamkeit einer telefonisch eingelegten Berufung,</w:t>
      </w:r>
      <w:r w:rsidR="00150B1C" w:rsidRPr="00A617B5">
        <w:rPr>
          <w:rFonts w:ascii="Times New Roman" w:hAnsi="Times New Roman"/>
          <w:spacing w:val="-2"/>
          <w:sz w:val="15"/>
          <w:szCs w:val="15"/>
        </w:rPr>
        <w:t xml:space="preserve"> </w:t>
      </w:r>
      <w:proofErr w:type="spellStart"/>
      <w:r w:rsidRPr="00A617B5">
        <w:rPr>
          <w:rFonts w:ascii="Times New Roman" w:hAnsi="Times New Roman"/>
          <w:spacing w:val="-2"/>
          <w:sz w:val="15"/>
          <w:szCs w:val="15"/>
        </w:rPr>
        <w:t>JuS</w:t>
      </w:r>
      <w:proofErr w:type="spellEnd"/>
      <w:r w:rsidRPr="00A617B5">
        <w:rPr>
          <w:rFonts w:ascii="Times New Roman" w:hAnsi="Times New Roman"/>
          <w:spacing w:val="-2"/>
          <w:sz w:val="15"/>
          <w:szCs w:val="15"/>
        </w:rPr>
        <w:t xml:space="preserve"> 2005, 660;</w:t>
      </w:r>
      <w:r w:rsidR="00B244D0" w:rsidRPr="00A617B5">
        <w:rPr>
          <w:rFonts w:ascii="Times New Roman" w:hAnsi="Times New Roman"/>
          <w:spacing w:val="-2"/>
          <w:sz w:val="15"/>
          <w:szCs w:val="15"/>
        </w:rPr>
        <w:t xml:space="preserve">; </w:t>
      </w:r>
      <w:r w:rsidR="00D6798B" w:rsidRPr="00A617B5">
        <w:rPr>
          <w:rFonts w:ascii="Times New Roman" w:hAnsi="Times New Roman"/>
          <w:bCs/>
          <w:i/>
          <w:spacing w:val="-2"/>
          <w:sz w:val="15"/>
          <w:szCs w:val="15"/>
        </w:rPr>
        <w:t>Meyer-</w:t>
      </w:r>
      <w:proofErr w:type="spellStart"/>
      <w:r w:rsidR="00D6798B" w:rsidRPr="00A617B5">
        <w:rPr>
          <w:rFonts w:ascii="Times New Roman" w:hAnsi="Times New Roman"/>
          <w:bCs/>
          <w:i/>
          <w:spacing w:val="-2"/>
          <w:sz w:val="15"/>
          <w:szCs w:val="15"/>
        </w:rPr>
        <w:t>Mews</w:t>
      </w:r>
      <w:proofErr w:type="spellEnd"/>
      <w:r w:rsidR="00D6798B" w:rsidRPr="00A617B5">
        <w:rPr>
          <w:rFonts w:ascii="Times New Roman" w:hAnsi="Times New Roman"/>
          <w:bCs/>
          <w:spacing w:val="-2"/>
          <w:sz w:val="15"/>
          <w:szCs w:val="15"/>
        </w:rPr>
        <w:t xml:space="preserve">, Die Völkerrechts- und Konventionswidrigkeit des Verwerfungsurteils gem. § 329 I 1 StPO, NJW 2002, 1928; </w:t>
      </w:r>
      <w:r w:rsidR="00B244D0" w:rsidRPr="00A617B5">
        <w:rPr>
          <w:rFonts w:ascii="Times New Roman" w:hAnsi="Times New Roman"/>
          <w:i/>
          <w:spacing w:val="-2"/>
          <w:sz w:val="15"/>
          <w:szCs w:val="15"/>
        </w:rPr>
        <w:t>Mosbacher</w:t>
      </w:r>
      <w:r w:rsidR="00B244D0" w:rsidRPr="00A617B5">
        <w:rPr>
          <w:rFonts w:ascii="Times New Roman" w:hAnsi="Times New Roman"/>
          <w:spacing w:val="-2"/>
          <w:sz w:val="15"/>
          <w:szCs w:val="15"/>
        </w:rPr>
        <w:t xml:space="preserve">, Straßburg </w:t>
      </w:r>
      <w:proofErr w:type="spellStart"/>
      <w:r w:rsidR="00B244D0" w:rsidRPr="00A617B5">
        <w:rPr>
          <w:rFonts w:ascii="Times New Roman" w:hAnsi="Times New Roman"/>
          <w:spacing w:val="-2"/>
          <w:sz w:val="15"/>
          <w:szCs w:val="15"/>
        </w:rPr>
        <w:t>locuta</w:t>
      </w:r>
      <w:proofErr w:type="spellEnd"/>
      <w:r w:rsidR="00B244D0" w:rsidRPr="00A617B5">
        <w:rPr>
          <w:rFonts w:ascii="Times New Roman" w:hAnsi="Times New Roman"/>
          <w:spacing w:val="-2"/>
          <w:sz w:val="15"/>
          <w:szCs w:val="15"/>
        </w:rPr>
        <w:t xml:space="preserve"> - § 329</w:t>
      </w:r>
      <w:r w:rsidR="005A7E5F" w:rsidRPr="00A617B5">
        <w:rPr>
          <w:rFonts w:ascii="Times New Roman" w:hAnsi="Times New Roman"/>
          <w:spacing w:val="-2"/>
          <w:sz w:val="15"/>
          <w:szCs w:val="15"/>
        </w:rPr>
        <w:t xml:space="preserve"> I StPO </w:t>
      </w:r>
      <w:proofErr w:type="spellStart"/>
      <w:r w:rsidR="005A7E5F" w:rsidRPr="00A617B5">
        <w:rPr>
          <w:rFonts w:ascii="Times New Roman" w:hAnsi="Times New Roman"/>
          <w:spacing w:val="-2"/>
          <w:sz w:val="15"/>
          <w:szCs w:val="15"/>
        </w:rPr>
        <w:t>finita</w:t>
      </w:r>
      <w:proofErr w:type="spellEnd"/>
      <w:r w:rsidR="005A7E5F" w:rsidRPr="00A617B5">
        <w:rPr>
          <w:rFonts w:ascii="Times New Roman" w:hAnsi="Times New Roman"/>
          <w:spacing w:val="-2"/>
          <w:sz w:val="15"/>
          <w:szCs w:val="15"/>
        </w:rPr>
        <w:t>?, NStZ 2013, 312</w:t>
      </w:r>
      <w:r w:rsidR="00CD0E7A" w:rsidRPr="00A617B5">
        <w:rPr>
          <w:rFonts w:ascii="Times New Roman" w:hAnsi="Times New Roman"/>
          <w:spacing w:val="-2"/>
          <w:sz w:val="15"/>
          <w:szCs w:val="15"/>
        </w:rPr>
        <w:t xml:space="preserve">; </w:t>
      </w:r>
      <w:proofErr w:type="spellStart"/>
      <w:r w:rsidR="00CD0E7A" w:rsidRPr="00A617B5">
        <w:rPr>
          <w:rFonts w:ascii="Times New Roman" w:hAnsi="Times New Roman"/>
          <w:i/>
          <w:spacing w:val="-2"/>
          <w:sz w:val="15"/>
          <w:szCs w:val="15"/>
        </w:rPr>
        <w:t>Ullenboom</w:t>
      </w:r>
      <w:proofErr w:type="spellEnd"/>
      <w:r w:rsidR="00CD0E7A" w:rsidRPr="00A617B5">
        <w:rPr>
          <w:rFonts w:ascii="Times New Roman" w:hAnsi="Times New Roman"/>
          <w:spacing w:val="-2"/>
          <w:sz w:val="15"/>
          <w:szCs w:val="15"/>
        </w:rPr>
        <w:t xml:space="preserve">, Die Berufungsverhandlung in Abwesenheit des Angeklagten gem. § 329 StPO, StV 2019, </w:t>
      </w:r>
      <w:r w:rsidR="00C861A9" w:rsidRPr="00A617B5">
        <w:rPr>
          <w:rFonts w:ascii="Times New Roman" w:hAnsi="Times New Roman"/>
          <w:spacing w:val="-2"/>
          <w:sz w:val="15"/>
          <w:szCs w:val="15"/>
        </w:rPr>
        <w:t>6</w:t>
      </w:r>
      <w:r w:rsidR="00CD0E7A" w:rsidRPr="00A617B5">
        <w:rPr>
          <w:rFonts w:ascii="Times New Roman" w:hAnsi="Times New Roman"/>
          <w:spacing w:val="-2"/>
          <w:sz w:val="15"/>
          <w:szCs w:val="15"/>
        </w:rPr>
        <w:t>43.</w:t>
      </w:r>
    </w:p>
    <w:p w14:paraId="37283DEA" w14:textId="6297655C" w:rsidR="00752D8D" w:rsidRPr="00A617B5" w:rsidRDefault="00752D8D" w:rsidP="00CC432B">
      <w:pPr>
        <w:widowControl/>
        <w:tabs>
          <w:tab w:val="left" w:pos="-720"/>
          <w:tab w:val="left" w:pos="0"/>
          <w:tab w:val="left" w:pos="288"/>
          <w:tab w:val="left" w:pos="576"/>
          <w:tab w:val="left" w:pos="864"/>
          <w:tab w:val="left" w:pos="1116"/>
          <w:tab w:val="left" w:pos="1418"/>
          <w:tab w:val="left" w:pos="2268"/>
          <w:tab w:val="left" w:pos="2880"/>
        </w:tabs>
        <w:spacing w:line="216" w:lineRule="auto"/>
        <w:ind w:left="1418" w:hanging="1560"/>
        <w:jc w:val="both"/>
        <w:rPr>
          <w:rFonts w:ascii="Times New Roman" w:hAnsi="Times New Roman"/>
          <w:spacing w:val="-2"/>
          <w:sz w:val="15"/>
          <w:szCs w:val="15"/>
        </w:rPr>
      </w:pPr>
      <w:r w:rsidRPr="00A617B5">
        <w:rPr>
          <w:rFonts w:ascii="Times New Roman" w:hAnsi="Times New Roman"/>
          <w:b/>
          <w:spacing w:val="-2"/>
          <w:sz w:val="15"/>
          <w:szCs w:val="15"/>
        </w:rPr>
        <w:t>Rechtsprechung:</w:t>
      </w:r>
      <w:r w:rsidRPr="00A617B5">
        <w:rPr>
          <w:rFonts w:ascii="Times New Roman" w:hAnsi="Times New Roman"/>
          <w:b/>
          <w:spacing w:val="-2"/>
          <w:sz w:val="15"/>
          <w:szCs w:val="15"/>
        </w:rPr>
        <w:tab/>
      </w:r>
      <w:r w:rsidR="003D264A" w:rsidRPr="00A617B5">
        <w:rPr>
          <w:rFonts w:ascii="Times New Roman" w:hAnsi="Times New Roman"/>
          <w:b/>
          <w:spacing w:val="-2"/>
          <w:sz w:val="15"/>
          <w:szCs w:val="15"/>
        </w:rPr>
        <w:tab/>
      </w:r>
      <w:r w:rsidR="00405589" w:rsidRPr="00A617B5">
        <w:rPr>
          <w:rFonts w:ascii="Times New Roman" w:hAnsi="Times New Roman"/>
          <w:b/>
          <w:spacing w:val="-2"/>
          <w:sz w:val="15"/>
          <w:szCs w:val="15"/>
        </w:rPr>
        <w:t>EGMR NStZ 2013, 350</w:t>
      </w:r>
      <w:r w:rsidR="00815DE1" w:rsidRPr="00A617B5">
        <w:rPr>
          <w:rFonts w:ascii="Times New Roman" w:hAnsi="Times New Roman"/>
          <w:b/>
          <w:spacing w:val="-2"/>
          <w:sz w:val="15"/>
          <w:szCs w:val="15"/>
        </w:rPr>
        <w:t xml:space="preserve"> </w:t>
      </w:r>
      <w:r w:rsidR="00815DE1" w:rsidRPr="00A617B5">
        <w:rPr>
          <w:rFonts w:ascii="Times New Roman" w:hAnsi="Times New Roman"/>
          <w:spacing w:val="-2"/>
          <w:sz w:val="15"/>
          <w:szCs w:val="15"/>
        </w:rPr>
        <w:t xml:space="preserve">– </w:t>
      </w:r>
      <w:r w:rsidR="000A3381">
        <w:rPr>
          <w:rFonts w:ascii="Times New Roman" w:hAnsi="Times New Roman"/>
          <w:spacing w:val="-2"/>
          <w:sz w:val="15"/>
          <w:szCs w:val="15"/>
        </w:rPr>
        <w:t>Neziraj (</w:t>
      </w:r>
      <w:r w:rsidR="00815DE1" w:rsidRPr="00A617B5">
        <w:rPr>
          <w:rFonts w:ascii="Times New Roman" w:hAnsi="Times New Roman"/>
          <w:spacing w:val="-2"/>
          <w:sz w:val="15"/>
          <w:szCs w:val="15"/>
        </w:rPr>
        <w:t>Recht auf faires Verfahren</w:t>
      </w:r>
      <w:r w:rsidR="000A3381">
        <w:rPr>
          <w:rFonts w:ascii="Times New Roman" w:hAnsi="Times New Roman"/>
          <w:spacing w:val="-2"/>
          <w:sz w:val="15"/>
          <w:szCs w:val="15"/>
        </w:rPr>
        <w:t xml:space="preserve">, </w:t>
      </w:r>
      <w:r w:rsidR="00815DE1" w:rsidRPr="00A617B5">
        <w:rPr>
          <w:rFonts w:ascii="Times New Roman" w:hAnsi="Times New Roman"/>
          <w:spacing w:val="-2"/>
          <w:sz w:val="15"/>
          <w:szCs w:val="15"/>
        </w:rPr>
        <w:t>Verwerfung der Berufung wegen unentschuldigter Abwesenheit des Angeklagten);</w:t>
      </w:r>
      <w:r w:rsidR="00D6798B" w:rsidRPr="00A617B5">
        <w:rPr>
          <w:rFonts w:ascii="Arial" w:hAnsi="Arial"/>
          <w:b/>
          <w:bCs/>
          <w:color w:val="339966"/>
          <w:sz w:val="15"/>
          <w:szCs w:val="15"/>
        </w:rPr>
        <w:t xml:space="preserve"> </w:t>
      </w:r>
      <w:r w:rsidR="00D6798B" w:rsidRPr="00A617B5">
        <w:rPr>
          <w:rFonts w:ascii="Times New Roman" w:hAnsi="Times New Roman"/>
          <w:b/>
          <w:bCs/>
          <w:spacing w:val="-2"/>
          <w:sz w:val="15"/>
          <w:szCs w:val="15"/>
        </w:rPr>
        <w:t xml:space="preserve">BVerfGE 74, 358 </w:t>
      </w:r>
      <w:r w:rsidR="00D6798B" w:rsidRPr="00A617B5">
        <w:rPr>
          <w:rFonts w:ascii="Times New Roman" w:hAnsi="Times New Roman"/>
          <w:bCs/>
          <w:spacing w:val="-2"/>
          <w:sz w:val="15"/>
          <w:szCs w:val="15"/>
        </w:rPr>
        <w:t xml:space="preserve">– Unschuldsvermutung (Berücksichtigung der EMRK bei der Auslegung des GG); </w:t>
      </w:r>
      <w:r w:rsidR="00D6798B" w:rsidRPr="00A617B5">
        <w:rPr>
          <w:rFonts w:ascii="Times New Roman" w:hAnsi="Times New Roman"/>
          <w:b/>
          <w:bCs/>
          <w:spacing w:val="-2"/>
          <w:sz w:val="15"/>
          <w:szCs w:val="15"/>
        </w:rPr>
        <w:t xml:space="preserve">BVerfGE 111, 307 </w:t>
      </w:r>
      <w:r w:rsidR="00D6798B" w:rsidRPr="00A617B5">
        <w:rPr>
          <w:rFonts w:ascii="Times New Roman" w:hAnsi="Times New Roman"/>
          <w:bCs/>
          <w:spacing w:val="-2"/>
          <w:sz w:val="15"/>
          <w:szCs w:val="15"/>
        </w:rPr>
        <w:t xml:space="preserve">– Görgülü (fehlende Berücksichtigung der EMRK bei der Auslegung des einfachen Rechts kann gegen Grundrechte </w:t>
      </w:r>
      <w:proofErr w:type="spellStart"/>
      <w:r w:rsidR="00D6798B" w:rsidRPr="00A617B5">
        <w:rPr>
          <w:rFonts w:ascii="Times New Roman" w:hAnsi="Times New Roman"/>
          <w:bCs/>
          <w:spacing w:val="-2"/>
          <w:sz w:val="15"/>
          <w:szCs w:val="15"/>
        </w:rPr>
        <w:t>i.V.m</w:t>
      </w:r>
      <w:proofErr w:type="spellEnd"/>
      <w:r w:rsidR="00D6798B" w:rsidRPr="00A617B5">
        <w:rPr>
          <w:rFonts w:ascii="Times New Roman" w:hAnsi="Times New Roman"/>
          <w:bCs/>
          <w:spacing w:val="-2"/>
          <w:sz w:val="15"/>
          <w:szCs w:val="15"/>
        </w:rPr>
        <w:t>. dem Rechtsstaatsprinzip verstoßen);</w:t>
      </w:r>
      <w:r w:rsidR="00815DE1" w:rsidRPr="00A617B5">
        <w:rPr>
          <w:rFonts w:ascii="Times New Roman" w:hAnsi="Times New Roman"/>
          <w:spacing w:val="-2"/>
          <w:sz w:val="15"/>
          <w:szCs w:val="15"/>
        </w:rPr>
        <w:t xml:space="preserve"> </w:t>
      </w:r>
      <w:r w:rsidRPr="00A617B5">
        <w:rPr>
          <w:rFonts w:ascii="Times New Roman" w:hAnsi="Times New Roman"/>
          <w:b/>
          <w:spacing w:val="-2"/>
          <w:sz w:val="15"/>
          <w:szCs w:val="15"/>
        </w:rPr>
        <w:t>BVerfG NJW 1996, 2785</w:t>
      </w:r>
      <w:r w:rsidRPr="00A617B5">
        <w:rPr>
          <w:rFonts w:ascii="Times New Roman" w:hAnsi="Times New Roman"/>
          <w:spacing w:val="-2"/>
          <w:sz w:val="15"/>
          <w:szCs w:val="15"/>
        </w:rPr>
        <w:t xml:space="preserve"> – Zwillingsbruder (Annahmeberufung); </w:t>
      </w:r>
      <w:r w:rsidRPr="00A617B5">
        <w:rPr>
          <w:rFonts w:ascii="Times New Roman" w:hAnsi="Times New Roman"/>
          <w:b/>
          <w:spacing w:val="-2"/>
          <w:sz w:val="15"/>
          <w:szCs w:val="15"/>
        </w:rPr>
        <w:t>BGHSt 2, 63</w:t>
      </w:r>
      <w:r w:rsidRPr="00A617B5">
        <w:rPr>
          <w:rFonts w:ascii="Times New Roman" w:hAnsi="Times New Roman"/>
          <w:spacing w:val="-2"/>
          <w:sz w:val="15"/>
          <w:szCs w:val="15"/>
        </w:rPr>
        <w:t xml:space="preserve"> – Vorbehalt (Zulässigkeit der Einlegung eines nicht genau bezeichneten Rechtsmittels); </w:t>
      </w:r>
      <w:r w:rsidRPr="00A617B5">
        <w:rPr>
          <w:rFonts w:ascii="Times New Roman" w:hAnsi="Times New Roman"/>
          <w:b/>
          <w:spacing w:val="-2"/>
          <w:sz w:val="15"/>
          <w:szCs w:val="15"/>
        </w:rPr>
        <w:t xml:space="preserve">BGHSt 5, 338 </w:t>
      </w:r>
      <w:r w:rsidRPr="00A617B5">
        <w:rPr>
          <w:rFonts w:ascii="Times New Roman" w:hAnsi="Times New Roman"/>
          <w:spacing w:val="-2"/>
          <w:sz w:val="15"/>
          <w:szCs w:val="15"/>
        </w:rPr>
        <w:t xml:space="preserve">– Sprungrevision (Zulässigkeit des Übergangs von Berufung in Revision); </w:t>
      </w:r>
      <w:r w:rsidRPr="00A617B5">
        <w:rPr>
          <w:rFonts w:ascii="Times New Roman" w:hAnsi="Times New Roman"/>
          <w:b/>
          <w:spacing w:val="-2"/>
          <w:sz w:val="15"/>
          <w:szCs w:val="15"/>
        </w:rPr>
        <w:t>BGHSt 40, 395</w:t>
      </w:r>
      <w:r w:rsidRPr="00A617B5">
        <w:rPr>
          <w:rFonts w:ascii="Times New Roman" w:hAnsi="Times New Roman"/>
          <w:spacing w:val="-2"/>
          <w:sz w:val="15"/>
          <w:szCs w:val="15"/>
        </w:rPr>
        <w:t xml:space="preserve"> – Vollrausch (Anforderungen an den Übergang von Berufung zur Sprungrevision); </w:t>
      </w:r>
      <w:r w:rsidRPr="00A617B5">
        <w:rPr>
          <w:rFonts w:ascii="Times New Roman" w:hAnsi="Times New Roman"/>
          <w:b/>
          <w:spacing w:val="-2"/>
          <w:sz w:val="15"/>
          <w:szCs w:val="15"/>
        </w:rPr>
        <w:t xml:space="preserve">BGHSt 47, 32 – </w:t>
      </w:r>
      <w:r w:rsidRPr="00A617B5">
        <w:rPr>
          <w:rFonts w:ascii="Times New Roman" w:hAnsi="Times New Roman"/>
          <w:spacing w:val="-2"/>
          <w:sz w:val="15"/>
          <w:szCs w:val="15"/>
        </w:rPr>
        <w:t>Führerschein (keine Berufungsbeschränkung bei enger Verbundenheit der getroffenen Entscheidungen);</w:t>
      </w:r>
      <w:r w:rsidRPr="00A617B5">
        <w:rPr>
          <w:rFonts w:ascii="Times New Roman" w:hAnsi="Times New Roman"/>
          <w:b/>
          <w:spacing w:val="-2"/>
          <w:sz w:val="15"/>
          <w:szCs w:val="15"/>
        </w:rPr>
        <w:t xml:space="preserve"> </w:t>
      </w:r>
      <w:r w:rsidR="00515053" w:rsidRPr="00A617B5">
        <w:rPr>
          <w:rFonts w:ascii="Times New Roman" w:hAnsi="Times New Roman"/>
          <w:b/>
          <w:spacing w:val="-2"/>
          <w:sz w:val="15"/>
          <w:szCs w:val="15"/>
        </w:rPr>
        <w:t>BGH NJW 2017, 2482</w:t>
      </w:r>
      <w:r w:rsidR="00515053" w:rsidRPr="00A617B5">
        <w:rPr>
          <w:rFonts w:ascii="Times New Roman" w:hAnsi="Times New Roman"/>
          <w:spacing w:val="-2"/>
          <w:sz w:val="15"/>
          <w:szCs w:val="15"/>
        </w:rPr>
        <w:t xml:space="preserve"> – Fahren ohne Fahrerlaubnis (Wirksamkeit einer Berufungsbeschränkung auf den Rechtsfolgenausspruch); </w:t>
      </w:r>
      <w:r w:rsidR="00515053" w:rsidRPr="00A617B5">
        <w:rPr>
          <w:rFonts w:ascii="Times New Roman" w:hAnsi="Times New Roman"/>
          <w:b/>
          <w:spacing w:val="-2"/>
          <w:sz w:val="15"/>
          <w:szCs w:val="15"/>
        </w:rPr>
        <w:t>BGH NJW 2019, 1008</w:t>
      </w:r>
      <w:r w:rsidR="00515053" w:rsidRPr="00A617B5">
        <w:rPr>
          <w:rFonts w:ascii="Times New Roman" w:hAnsi="Times New Roman"/>
          <w:spacing w:val="-2"/>
          <w:sz w:val="15"/>
          <w:szCs w:val="15"/>
        </w:rPr>
        <w:t xml:space="preserve"> - Einziehung in der Rechtsmittelinstanz – (Schlechterstellungsverbot); </w:t>
      </w:r>
      <w:r w:rsidR="00515053" w:rsidRPr="00A617B5">
        <w:rPr>
          <w:rFonts w:ascii="Times New Roman" w:hAnsi="Times New Roman"/>
          <w:b/>
          <w:bCs/>
          <w:spacing w:val="-2"/>
          <w:sz w:val="15"/>
          <w:szCs w:val="15"/>
        </w:rPr>
        <w:t>BayObLG NStZ-RR 2000, 307</w:t>
      </w:r>
      <w:r w:rsidR="00515053" w:rsidRPr="00A617B5">
        <w:rPr>
          <w:rFonts w:ascii="Times New Roman" w:hAnsi="Times New Roman"/>
          <w:bCs/>
          <w:spacing w:val="-2"/>
          <w:sz w:val="15"/>
          <w:szCs w:val="15"/>
        </w:rPr>
        <w:t xml:space="preserve"> – Ausbleiben des Angeklagten (§ 329 Abs. 1 StPO verstößt nicht gegen Art. 6 Abs. 3 </w:t>
      </w:r>
      <w:proofErr w:type="spellStart"/>
      <w:r w:rsidR="00515053" w:rsidRPr="00A617B5">
        <w:rPr>
          <w:rFonts w:ascii="Times New Roman" w:hAnsi="Times New Roman"/>
          <w:bCs/>
          <w:spacing w:val="-2"/>
          <w:sz w:val="15"/>
          <w:szCs w:val="15"/>
        </w:rPr>
        <w:t>lit</w:t>
      </w:r>
      <w:proofErr w:type="spellEnd"/>
      <w:r w:rsidR="00515053" w:rsidRPr="00A617B5">
        <w:rPr>
          <w:rFonts w:ascii="Times New Roman" w:hAnsi="Times New Roman"/>
          <w:bCs/>
          <w:spacing w:val="-2"/>
          <w:sz w:val="15"/>
          <w:szCs w:val="15"/>
        </w:rPr>
        <w:t xml:space="preserve">. c) EMRK); </w:t>
      </w:r>
      <w:r w:rsidR="00515053" w:rsidRPr="00A617B5">
        <w:rPr>
          <w:rFonts w:ascii="Times New Roman" w:hAnsi="Times New Roman"/>
          <w:b/>
          <w:spacing w:val="-2"/>
          <w:sz w:val="15"/>
          <w:szCs w:val="15"/>
        </w:rPr>
        <w:t>OLG Bamberg NStZ-RR 2016, 20</w:t>
      </w:r>
      <w:r w:rsidR="00515053" w:rsidRPr="00A617B5">
        <w:rPr>
          <w:rFonts w:ascii="Times New Roman" w:hAnsi="Times New Roman"/>
          <w:spacing w:val="-2"/>
          <w:sz w:val="15"/>
          <w:szCs w:val="15"/>
        </w:rPr>
        <w:t xml:space="preserve"> – Konkludente Berufungsannahme (Anfechtbarkeit der späteren Nichtannahmeentscheidung in analoger Anwendung des § 322 II StPO mit der sofortigen Beschwerde); </w:t>
      </w:r>
      <w:r w:rsidR="00E23441" w:rsidRPr="00A617B5">
        <w:rPr>
          <w:rFonts w:ascii="Times New Roman" w:hAnsi="Times New Roman"/>
          <w:b/>
          <w:bCs/>
          <w:spacing w:val="-2"/>
          <w:sz w:val="15"/>
          <w:szCs w:val="15"/>
        </w:rPr>
        <w:t xml:space="preserve">OLG Celle NStZ 2013, 615 </w:t>
      </w:r>
      <w:r w:rsidR="00E23441" w:rsidRPr="00A617B5">
        <w:rPr>
          <w:rFonts w:ascii="Times New Roman" w:hAnsi="Times New Roman"/>
          <w:bCs/>
          <w:spacing w:val="-2"/>
          <w:sz w:val="15"/>
          <w:szCs w:val="15"/>
        </w:rPr>
        <w:t>– Nichterscheinen zur Berufung (Verbindlichkeit des Wortlauts des § 329 Abs. 1 StPO);</w:t>
      </w:r>
      <w:r w:rsidR="00E23441">
        <w:rPr>
          <w:rFonts w:ascii="Times New Roman" w:hAnsi="Times New Roman"/>
          <w:bCs/>
          <w:spacing w:val="-2"/>
          <w:sz w:val="15"/>
          <w:szCs w:val="15"/>
        </w:rPr>
        <w:t xml:space="preserve"> </w:t>
      </w:r>
      <w:r w:rsidR="00E23441" w:rsidRPr="00A617B5">
        <w:rPr>
          <w:rFonts w:ascii="Times New Roman" w:hAnsi="Times New Roman"/>
          <w:b/>
          <w:spacing w:val="-2"/>
          <w:sz w:val="15"/>
          <w:szCs w:val="15"/>
        </w:rPr>
        <w:t>OLG Hamburg JR 1999, 479</w:t>
      </w:r>
      <w:r w:rsidR="00E23441" w:rsidRPr="00A617B5">
        <w:rPr>
          <w:rFonts w:ascii="Times New Roman" w:hAnsi="Times New Roman"/>
          <w:spacing w:val="-2"/>
          <w:sz w:val="15"/>
          <w:szCs w:val="15"/>
        </w:rPr>
        <w:t xml:space="preserve"> – Hanfsamen (Anfechtung des Nichtannahmebeschlusses)</w:t>
      </w:r>
      <w:r w:rsidR="00E23441">
        <w:rPr>
          <w:rFonts w:ascii="Times New Roman" w:hAnsi="Times New Roman"/>
          <w:spacing w:val="-2"/>
          <w:sz w:val="15"/>
          <w:szCs w:val="15"/>
        </w:rPr>
        <w:t xml:space="preserve">; </w:t>
      </w:r>
      <w:r w:rsidR="00515053" w:rsidRPr="00A617B5">
        <w:rPr>
          <w:rFonts w:ascii="Times New Roman" w:hAnsi="Times New Roman"/>
          <w:b/>
          <w:spacing w:val="-2"/>
          <w:sz w:val="15"/>
          <w:szCs w:val="15"/>
        </w:rPr>
        <w:t>OLG Hamburg NStZ 2017, 607</w:t>
      </w:r>
      <w:r w:rsidR="00515053" w:rsidRPr="00A617B5">
        <w:rPr>
          <w:rFonts w:ascii="Times New Roman" w:hAnsi="Times New Roman"/>
          <w:spacing w:val="-2"/>
          <w:sz w:val="15"/>
          <w:szCs w:val="15"/>
        </w:rPr>
        <w:t xml:space="preserve"> – Berufungshauptverhandlung (Anwesenheitserfordernis des Angeklagten); </w:t>
      </w:r>
      <w:r w:rsidR="00E23441" w:rsidRPr="00A617B5">
        <w:rPr>
          <w:rFonts w:ascii="Times New Roman" w:hAnsi="Times New Roman"/>
          <w:b/>
          <w:spacing w:val="-2"/>
          <w:sz w:val="15"/>
          <w:szCs w:val="15"/>
        </w:rPr>
        <w:t>OLG Karlsruhe NStZ 2014, 294</w:t>
      </w:r>
      <w:r w:rsidR="00E23441" w:rsidRPr="00A617B5">
        <w:rPr>
          <w:rFonts w:ascii="Times New Roman" w:hAnsi="Times New Roman"/>
          <w:spacing w:val="-2"/>
          <w:sz w:val="15"/>
          <w:szCs w:val="15"/>
        </w:rPr>
        <w:t xml:space="preserve"> – Erstinstanzliche Verständigung (Folgewirkungen in der Berufungsinstanz);</w:t>
      </w:r>
      <w:r w:rsidR="00E23441">
        <w:rPr>
          <w:rFonts w:ascii="Times New Roman" w:hAnsi="Times New Roman"/>
          <w:spacing w:val="-2"/>
          <w:sz w:val="15"/>
          <w:szCs w:val="15"/>
        </w:rPr>
        <w:t xml:space="preserve"> </w:t>
      </w:r>
      <w:r w:rsidR="00E23441" w:rsidRPr="00A617B5">
        <w:rPr>
          <w:rFonts w:ascii="Times New Roman" w:hAnsi="Times New Roman"/>
          <w:b/>
          <w:bCs/>
          <w:spacing w:val="-2"/>
          <w:sz w:val="15"/>
          <w:szCs w:val="15"/>
        </w:rPr>
        <w:t xml:space="preserve">OLG München NStZ 2013, 358 </w:t>
      </w:r>
      <w:r w:rsidR="00E23441" w:rsidRPr="00A617B5">
        <w:rPr>
          <w:rFonts w:ascii="Times New Roman" w:hAnsi="Times New Roman"/>
          <w:bCs/>
          <w:spacing w:val="-2"/>
          <w:sz w:val="15"/>
          <w:szCs w:val="15"/>
        </w:rPr>
        <w:t>–</w:t>
      </w:r>
      <w:r w:rsidR="00E23441" w:rsidRPr="00A617B5">
        <w:rPr>
          <w:rFonts w:ascii="Times New Roman" w:hAnsi="Times New Roman"/>
          <w:b/>
          <w:bCs/>
          <w:spacing w:val="-2"/>
          <w:sz w:val="15"/>
          <w:szCs w:val="15"/>
        </w:rPr>
        <w:t xml:space="preserve"> </w:t>
      </w:r>
      <w:r w:rsidR="00E23441" w:rsidRPr="00A617B5">
        <w:rPr>
          <w:rFonts w:ascii="Times New Roman" w:hAnsi="Times New Roman"/>
          <w:bCs/>
          <w:spacing w:val="-2"/>
          <w:sz w:val="15"/>
          <w:szCs w:val="15"/>
        </w:rPr>
        <w:t>Nichterscheinen zur Berufung (Verbindlichkeit des Wortlauts des § 329 Abs. 1 StPO)</w:t>
      </w:r>
      <w:r w:rsidR="00E23441">
        <w:rPr>
          <w:rFonts w:ascii="Times New Roman" w:hAnsi="Times New Roman"/>
          <w:bCs/>
          <w:spacing w:val="-2"/>
          <w:sz w:val="15"/>
          <w:szCs w:val="15"/>
        </w:rPr>
        <w:t xml:space="preserve">; </w:t>
      </w:r>
      <w:r w:rsidR="00CC432B" w:rsidRPr="00A617B5">
        <w:rPr>
          <w:rFonts w:ascii="Times New Roman" w:hAnsi="Times New Roman"/>
          <w:b/>
          <w:spacing w:val="-2"/>
          <w:sz w:val="15"/>
          <w:szCs w:val="15"/>
        </w:rPr>
        <w:t>OLG Nürnberg NStZ 2017, 494</w:t>
      </w:r>
      <w:r w:rsidR="00CC432B" w:rsidRPr="00A617B5">
        <w:rPr>
          <w:rFonts w:ascii="Times New Roman" w:hAnsi="Times New Roman"/>
          <w:spacing w:val="-2"/>
          <w:sz w:val="15"/>
          <w:szCs w:val="15"/>
        </w:rPr>
        <w:t xml:space="preserve"> – Wirksamkeit einer Berufungseinlegung (für die Wahrung der Schriftform gem. § 314 I StPO ist eine handschriftliche Unterzeichnung der Berufungsschrift nicht unbedingt erforderlich).</w:t>
      </w:r>
    </w:p>
    <w:sectPr w:rsidR="00752D8D" w:rsidRPr="00A617B5">
      <w:pgSz w:w="11906" w:h="16838"/>
      <w:pgMar w:top="566" w:right="566" w:bottom="288" w:left="1134" w:header="566" w:footer="288"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1595A" w14:textId="77777777" w:rsidR="00EB3638" w:rsidRDefault="00EB3638">
      <w:pPr>
        <w:widowControl/>
        <w:spacing w:line="-20" w:lineRule="auto"/>
      </w:pPr>
    </w:p>
  </w:endnote>
  <w:endnote w:type="continuationSeparator" w:id="0">
    <w:p w14:paraId="6265B175" w14:textId="77777777" w:rsidR="00EB3638" w:rsidRDefault="00EB3638">
      <w:r>
        <w:t xml:space="preserve"> </w:t>
      </w:r>
    </w:p>
  </w:endnote>
  <w:endnote w:type="continuationNotice" w:id="1">
    <w:p w14:paraId="5D488839" w14:textId="77777777" w:rsidR="00EB3638" w:rsidRDefault="00EB363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BED5D" w14:textId="77777777" w:rsidR="00EB3638" w:rsidRDefault="00EB3638">
      <w:r>
        <w:separator/>
      </w:r>
    </w:p>
  </w:footnote>
  <w:footnote w:type="continuationSeparator" w:id="0">
    <w:p w14:paraId="28E79B32" w14:textId="77777777" w:rsidR="00EB3638" w:rsidRDefault="00EB36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BB8BD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350A90"/>
    <w:multiLevelType w:val="singleLevel"/>
    <w:tmpl w:val="CFD0FEE6"/>
    <w:lvl w:ilvl="0">
      <w:start w:val="3"/>
      <w:numFmt w:val="upperRoman"/>
      <w:lvlText w:val="%1. "/>
      <w:legacy w:legacy="1" w:legacySpace="0" w:legacyIndent="283"/>
      <w:lvlJc w:val="left"/>
      <w:pPr>
        <w:ind w:left="283" w:hanging="283"/>
      </w:pPr>
      <w:rPr>
        <w:rFonts w:ascii="Times New Roman" w:hAnsi="Times New Roman" w:cs="Times New Roman" w:hint="default"/>
        <w:b/>
        <w:i w:val="0"/>
        <w:sz w:val="20"/>
        <w:u w:val="none"/>
      </w:rPr>
    </w:lvl>
  </w:abstractNum>
  <w:abstractNum w:abstractNumId="2" w15:restartNumberingAfterBreak="0">
    <w:nsid w:val="0F3E71E5"/>
    <w:multiLevelType w:val="hybridMultilevel"/>
    <w:tmpl w:val="C5CA85F4"/>
    <w:lvl w:ilvl="0" w:tplc="714A536A">
      <w:start w:val="2"/>
      <w:numFmt w:val="decimal"/>
      <w:lvlText w:val="%1."/>
      <w:lvlJc w:val="left"/>
      <w:pPr>
        <w:tabs>
          <w:tab w:val="num" w:pos="645"/>
        </w:tabs>
        <w:ind w:left="645" w:hanging="360"/>
      </w:pPr>
      <w:rPr>
        <w:rFonts w:hint="default"/>
        <w:u w:val="single"/>
      </w:rPr>
    </w:lvl>
    <w:lvl w:ilvl="1" w:tplc="00190407" w:tentative="1">
      <w:start w:val="1"/>
      <w:numFmt w:val="lowerLetter"/>
      <w:lvlText w:val="%2."/>
      <w:lvlJc w:val="left"/>
      <w:pPr>
        <w:tabs>
          <w:tab w:val="num" w:pos="1365"/>
        </w:tabs>
        <w:ind w:left="1365" w:hanging="360"/>
      </w:pPr>
    </w:lvl>
    <w:lvl w:ilvl="2" w:tplc="001B0407" w:tentative="1">
      <w:start w:val="1"/>
      <w:numFmt w:val="lowerRoman"/>
      <w:lvlText w:val="%3."/>
      <w:lvlJc w:val="right"/>
      <w:pPr>
        <w:tabs>
          <w:tab w:val="num" w:pos="2085"/>
        </w:tabs>
        <w:ind w:left="2085" w:hanging="180"/>
      </w:pPr>
    </w:lvl>
    <w:lvl w:ilvl="3" w:tplc="000F0407" w:tentative="1">
      <w:start w:val="1"/>
      <w:numFmt w:val="decimal"/>
      <w:lvlText w:val="%4."/>
      <w:lvlJc w:val="left"/>
      <w:pPr>
        <w:tabs>
          <w:tab w:val="num" w:pos="2805"/>
        </w:tabs>
        <w:ind w:left="2805" w:hanging="360"/>
      </w:pPr>
    </w:lvl>
    <w:lvl w:ilvl="4" w:tplc="00190407" w:tentative="1">
      <w:start w:val="1"/>
      <w:numFmt w:val="lowerLetter"/>
      <w:lvlText w:val="%5."/>
      <w:lvlJc w:val="left"/>
      <w:pPr>
        <w:tabs>
          <w:tab w:val="num" w:pos="3525"/>
        </w:tabs>
        <w:ind w:left="3525" w:hanging="360"/>
      </w:pPr>
    </w:lvl>
    <w:lvl w:ilvl="5" w:tplc="001B0407" w:tentative="1">
      <w:start w:val="1"/>
      <w:numFmt w:val="lowerRoman"/>
      <w:lvlText w:val="%6."/>
      <w:lvlJc w:val="right"/>
      <w:pPr>
        <w:tabs>
          <w:tab w:val="num" w:pos="4245"/>
        </w:tabs>
        <w:ind w:left="4245" w:hanging="180"/>
      </w:pPr>
    </w:lvl>
    <w:lvl w:ilvl="6" w:tplc="000F0407" w:tentative="1">
      <w:start w:val="1"/>
      <w:numFmt w:val="decimal"/>
      <w:lvlText w:val="%7."/>
      <w:lvlJc w:val="left"/>
      <w:pPr>
        <w:tabs>
          <w:tab w:val="num" w:pos="4965"/>
        </w:tabs>
        <w:ind w:left="4965" w:hanging="360"/>
      </w:pPr>
    </w:lvl>
    <w:lvl w:ilvl="7" w:tplc="00190407" w:tentative="1">
      <w:start w:val="1"/>
      <w:numFmt w:val="lowerLetter"/>
      <w:lvlText w:val="%8."/>
      <w:lvlJc w:val="left"/>
      <w:pPr>
        <w:tabs>
          <w:tab w:val="num" w:pos="5685"/>
        </w:tabs>
        <w:ind w:left="5685" w:hanging="360"/>
      </w:pPr>
    </w:lvl>
    <w:lvl w:ilvl="8" w:tplc="001B0407" w:tentative="1">
      <w:start w:val="1"/>
      <w:numFmt w:val="lowerRoman"/>
      <w:lvlText w:val="%9."/>
      <w:lvlJc w:val="right"/>
      <w:pPr>
        <w:tabs>
          <w:tab w:val="num" w:pos="6405"/>
        </w:tabs>
        <w:ind w:left="6405" w:hanging="180"/>
      </w:pPr>
    </w:lvl>
  </w:abstractNum>
  <w:abstractNum w:abstractNumId="3" w15:restartNumberingAfterBreak="0">
    <w:nsid w:val="15923B23"/>
    <w:multiLevelType w:val="singleLevel"/>
    <w:tmpl w:val="D30625C0"/>
    <w:lvl w:ilvl="0">
      <w:start w:val="1"/>
      <w:numFmt w:val="lowerLetter"/>
      <w:lvlText w:val="%1)"/>
      <w:lvlJc w:val="left"/>
      <w:pPr>
        <w:tabs>
          <w:tab w:val="num" w:pos="645"/>
        </w:tabs>
        <w:ind w:left="645" w:hanging="360"/>
      </w:pPr>
      <w:rPr>
        <w:rFonts w:hint="default"/>
        <w:b/>
      </w:rPr>
    </w:lvl>
  </w:abstractNum>
  <w:abstractNum w:abstractNumId="4" w15:restartNumberingAfterBreak="0">
    <w:nsid w:val="181102ED"/>
    <w:multiLevelType w:val="singleLevel"/>
    <w:tmpl w:val="B7E8B7C6"/>
    <w:lvl w:ilvl="0">
      <w:start w:val="4"/>
      <w:numFmt w:val="upperRoman"/>
      <w:lvlText w:val="%1. "/>
      <w:legacy w:legacy="1" w:legacySpace="0" w:legacyIndent="283"/>
      <w:lvlJc w:val="left"/>
      <w:pPr>
        <w:ind w:left="283" w:hanging="283"/>
      </w:pPr>
      <w:rPr>
        <w:rFonts w:ascii="Times New Roman" w:hAnsi="Times New Roman" w:cs="Times New Roman" w:hint="default"/>
        <w:b/>
        <w:i w:val="0"/>
        <w:sz w:val="20"/>
        <w:u w:val="none"/>
      </w:rPr>
    </w:lvl>
  </w:abstractNum>
  <w:abstractNum w:abstractNumId="5" w15:restartNumberingAfterBreak="0">
    <w:nsid w:val="3CB47EE0"/>
    <w:multiLevelType w:val="hybridMultilevel"/>
    <w:tmpl w:val="EC565160"/>
    <w:lvl w:ilvl="0" w:tplc="D4C46890">
      <w:start w:val="2"/>
      <w:numFmt w:val="decimal"/>
      <w:lvlText w:val="%1."/>
      <w:lvlJc w:val="left"/>
      <w:pPr>
        <w:tabs>
          <w:tab w:val="num" w:pos="645"/>
        </w:tabs>
        <w:ind w:left="645" w:hanging="360"/>
      </w:pPr>
      <w:rPr>
        <w:rFonts w:hint="default"/>
        <w:b/>
      </w:rPr>
    </w:lvl>
    <w:lvl w:ilvl="1" w:tplc="00190407" w:tentative="1">
      <w:start w:val="1"/>
      <w:numFmt w:val="lowerLetter"/>
      <w:lvlText w:val="%2."/>
      <w:lvlJc w:val="left"/>
      <w:pPr>
        <w:tabs>
          <w:tab w:val="num" w:pos="1365"/>
        </w:tabs>
        <w:ind w:left="1365" w:hanging="360"/>
      </w:pPr>
    </w:lvl>
    <w:lvl w:ilvl="2" w:tplc="001B0407" w:tentative="1">
      <w:start w:val="1"/>
      <w:numFmt w:val="lowerRoman"/>
      <w:lvlText w:val="%3."/>
      <w:lvlJc w:val="right"/>
      <w:pPr>
        <w:tabs>
          <w:tab w:val="num" w:pos="2085"/>
        </w:tabs>
        <w:ind w:left="2085" w:hanging="180"/>
      </w:pPr>
    </w:lvl>
    <w:lvl w:ilvl="3" w:tplc="000F0407" w:tentative="1">
      <w:start w:val="1"/>
      <w:numFmt w:val="decimal"/>
      <w:lvlText w:val="%4."/>
      <w:lvlJc w:val="left"/>
      <w:pPr>
        <w:tabs>
          <w:tab w:val="num" w:pos="2805"/>
        </w:tabs>
        <w:ind w:left="2805" w:hanging="360"/>
      </w:pPr>
    </w:lvl>
    <w:lvl w:ilvl="4" w:tplc="00190407" w:tentative="1">
      <w:start w:val="1"/>
      <w:numFmt w:val="lowerLetter"/>
      <w:lvlText w:val="%5."/>
      <w:lvlJc w:val="left"/>
      <w:pPr>
        <w:tabs>
          <w:tab w:val="num" w:pos="3525"/>
        </w:tabs>
        <w:ind w:left="3525" w:hanging="360"/>
      </w:pPr>
    </w:lvl>
    <w:lvl w:ilvl="5" w:tplc="001B0407" w:tentative="1">
      <w:start w:val="1"/>
      <w:numFmt w:val="lowerRoman"/>
      <w:lvlText w:val="%6."/>
      <w:lvlJc w:val="right"/>
      <w:pPr>
        <w:tabs>
          <w:tab w:val="num" w:pos="4245"/>
        </w:tabs>
        <w:ind w:left="4245" w:hanging="180"/>
      </w:pPr>
    </w:lvl>
    <w:lvl w:ilvl="6" w:tplc="000F0407" w:tentative="1">
      <w:start w:val="1"/>
      <w:numFmt w:val="decimal"/>
      <w:lvlText w:val="%7."/>
      <w:lvlJc w:val="left"/>
      <w:pPr>
        <w:tabs>
          <w:tab w:val="num" w:pos="4965"/>
        </w:tabs>
        <w:ind w:left="4965" w:hanging="360"/>
      </w:pPr>
    </w:lvl>
    <w:lvl w:ilvl="7" w:tplc="00190407" w:tentative="1">
      <w:start w:val="1"/>
      <w:numFmt w:val="lowerLetter"/>
      <w:lvlText w:val="%8."/>
      <w:lvlJc w:val="left"/>
      <w:pPr>
        <w:tabs>
          <w:tab w:val="num" w:pos="5685"/>
        </w:tabs>
        <w:ind w:left="5685" w:hanging="360"/>
      </w:pPr>
    </w:lvl>
    <w:lvl w:ilvl="8" w:tplc="001B0407" w:tentative="1">
      <w:start w:val="1"/>
      <w:numFmt w:val="lowerRoman"/>
      <w:lvlText w:val="%9."/>
      <w:lvlJc w:val="right"/>
      <w:pPr>
        <w:tabs>
          <w:tab w:val="num" w:pos="6405"/>
        </w:tabs>
        <w:ind w:left="6405" w:hanging="180"/>
      </w:pPr>
    </w:lvl>
  </w:abstractNum>
  <w:abstractNum w:abstractNumId="6" w15:restartNumberingAfterBreak="0">
    <w:nsid w:val="4A2241B0"/>
    <w:multiLevelType w:val="singleLevel"/>
    <w:tmpl w:val="8B7EE8F8"/>
    <w:lvl w:ilvl="0">
      <w:start w:val="3"/>
      <w:numFmt w:val="bullet"/>
      <w:lvlText w:val="–"/>
      <w:lvlJc w:val="left"/>
      <w:pPr>
        <w:tabs>
          <w:tab w:val="num" w:pos="930"/>
        </w:tabs>
        <w:ind w:left="930" w:hanging="360"/>
      </w:pPr>
      <w:rPr>
        <w:rFonts w:hint="default"/>
        <w:b/>
      </w:rPr>
    </w:lvl>
  </w:abstractNum>
  <w:abstractNum w:abstractNumId="7" w15:restartNumberingAfterBreak="0">
    <w:nsid w:val="4A8175C9"/>
    <w:multiLevelType w:val="singleLevel"/>
    <w:tmpl w:val="E8A21922"/>
    <w:lvl w:ilvl="0">
      <w:start w:val="5"/>
      <w:numFmt w:val="upperRoman"/>
      <w:lvlText w:val="%1. "/>
      <w:legacy w:legacy="1" w:legacySpace="0" w:legacyIndent="283"/>
      <w:lvlJc w:val="left"/>
      <w:pPr>
        <w:ind w:left="283" w:hanging="283"/>
      </w:pPr>
      <w:rPr>
        <w:rFonts w:ascii="Times New Roman" w:hAnsi="Times New Roman" w:cs="Times New Roman" w:hint="default"/>
        <w:b/>
        <w:i w:val="0"/>
        <w:sz w:val="20"/>
        <w:u w:val="none"/>
      </w:rPr>
    </w:lvl>
  </w:abstractNum>
  <w:num w:numId="1" w16cid:durableId="2061901218">
    <w:abstractNumId w:val="1"/>
  </w:num>
  <w:num w:numId="2" w16cid:durableId="439032003">
    <w:abstractNumId w:val="4"/>
  </w:num>
  <w:num w:numId="3" w16cid:durableId="1398433079">
    <w:abstractNumId w:val="7"/>
  </w:num>
  <w:num w:numId="4" w16cid:durableId="1519395414">
    <w:abstractNumId w:val="6"/>
  </w:num>
  <w:num w:numId="5" w16cid:durableId="433520760">
    <w:abstractNumId w:val="3"/>
  </w:num>
  <w:num w:numId="6" w16cid:durableId="1899169118">
    <w:abstractNumId w:val="5"/>
  </w:num>
  <w:num w:numId="7" w16cid:durableId="97334964">
    <w:abstractNumId w:val="2"/>
  </w:num>
  <w:num w:numId="8" w16cid:durableId="474183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embedSystemFonts/>
  <w:proofState w:spelling="clean" w:grammar="clean"/>
  <w:defaultTabStop w:val="720"/>
  <w:autoHyphenation/>
  <w:hyphenationZone w:val="51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25"/>
    <w:rsid w:val="00007661"/>
    <w:rsid w:val="000117D5"/>
    <w:rsid w:val="00025ACF"/>
    <w:rsid w:val="0005040C"/>
    <w:rsid w:val="000549A6"/>
    <w:rsid w:val="00056BE1"/>
    <w:rsid w:val="000A3381"/>
    <w:rsid w:val="000D59FA"/>
    <w:rsid w:val="000F59E5"/>
    <w:rsid w:val="00133CA1"/>
    <w:rsid w:val="001340DC"/>
    <w:rsid w:val="00150B1C"/>
    <w:rsid w:val="00162288"/>
    <w:rsid w:val="001C5907"/>
    <w:rsid w:val="00217B8A"/>
    <w:rsid w:val="00223251"/>
    <w:rsid w:val="00227510"/>
    <w:rsid w:val="00245230"/>
    <w:rsid w:val="002A08E8"/>
    <w:rsid w:val="002A305F"/>
    <w:rsid w:val="002D4C5F"/>
    <w:rsid w:val="002D5172"/>
    <w:rsid w:val="002F6305"/>
    <w:rsid w:val="0032205F"/>
    <w:rsid w:val="00325A49"/>
    <w:rsid w:val="00344602"/>
    <w:rsid w:val="003453A2"/>
    <w:rsid w:val="0036059C"/>
    <w:rsid w:val="00371E8A"/>
    <w:rsid w:val="003803E7"/>
    <w:rsid w:val="003D12A8"/>
    <w:rsid w:val="003D264A"/>
    <w:rsid w:val="003E53A9"/>
    <w:rsid w:val="003F75E7"/>
    <w:rsid w:val="00404F13"/>
    <w:rsid w:val="00405589"/>
    <w:rsid w:val="004069C8"/>
    <w:rsid w:val="00463B06"/>
    <w:rsid w:val="0046765A"/>
    <w:rsid w:val="004A334C"/>
    <w:rsid w:val="004C1DEF"/>
    <w:rsid w:val="004C5D96"/>
    <w:rsid w:val="004D1182"/>
    <w:rsid w:val="004D11D3"/>
    <w:rsid w:val="004D2218"/>
    <w:rsid w:val="004D47D0"/>
    <w:rsid w:val="004D7214"/>
    <w:rsid w:val="004E1363"/>
    <w:rsid w:val="00515053"/>
    <w:rsid w:val="0051720F"/>
    <w:rsid w:val="00526E82"/>
    <w:rsid w:val="00534829"/>
    <w:rsid w:val="005414EA"/>
    <w:rsid w:val="00544F1E"/>
    <w:rsid w:val="00570F70"/>
    <w:rsid w:val="005939DF"/>
    <w:rsid w:val="005A7E5F"/>
    <w:rsid w:val="005C01EC"/>
    <w:rsid w:val="006131CF"/>
    <w:rsid w:val="00613C84"/>
    <w:rsid w:val="0063550C"/>
    <w:rsid w:val="0066631F"/>
    <w:rsid w:val="006A48FB"/>
    <w:rsid w:val="006B0423"/>
    <w:rsid w:val="006D7C56"/>
    <w:rsid w:val="006F13A7"/>
    <w:rsid w:val="006F3D25"/>
    <w:rsid w:val="00701B60"/>
    <w:rsid w:val="007414C6"/>
    <w:rsid w:val="007477DA"/>
    <w:rsid w:val="00752D8D"/>
    <w:rsid w:val="007570B7"/>
    <w:rsid w:val="00784045"/>
    <w:rsid w:val="007B3025"/>
    <w:rsid w:val="007C46E0"/>
    <w:rsid w:val="00803300"/>
    <w:rsid w:val="008055DF"/>
    <w:rsid w:val="00815DE1"/>
    <w:rsid w:val="008265C9"/>
    <w:rsid w:val="00842ACC"/>
    <w:rsid w:val="00843592"/>
    <w:rsid w:val="00860471"/>
    <w:rsid w:val="008670E3"/>
    <w:rsid w:val="008753E9"/>
    <w:rsid w:val="008A0210"/>
    <w:rsid w:val="008C085C"/>
    <w:rsid w:val="008E36CE"/>
    <w:rsid w:val="00910DC6"/>
    <w:rsid w:val="00912709"/>
    <w:rsid w:val="00912EEA"/>
    <w:rsid w:val="0092509B"/>
    <w:rsid w:val="00965F69"/>
    <w:rsid w:val="00991E61"/>
    <w:rsid w:val="009A0EBE"/>
    <w:rsid w:val="009A229D"/>
    <w:rsid w:val="009D6055"/>
    <w:rsid w:val="00A31C72"/>
    <w:rsid w:val="00A617B5"/>
    <w:rsid w:val="00A97544"/>
    <w:rsid w:val="00B244D0"/>
    <w:rsid w:val="00BC6118"/>
    <w:rsid w:val="00C04DF3"/>
    <w:rsid w:val="00C10405"/>
    <w:rsid w:val="00C44395"/>
    <w:rsid w:val="00C767A0"/>
    <w:rsid w:val="00C815EA"/>
    <w:rsid w:val="00C84501"/>
    <w:rsid w:val="00C85C9F"/>
    <w:rsid w:val="00C861A9"/>
    <w:rsid w:val="00CA2154"/>
    <w:rsid w:val="00CC432B"/>
    <w:rsid w:val="00CD0E7A"/>
    <w:rsid w:val="00CF24AB"/>
    <w:rsid w:val="00D00409"/>
    <w:rsid w:val="00D27DB8"/>
    <w:rsid w:val="00D33AEE"/>
    <w:rsid w:val="00D457D6"/>
    <w:rsid w:val="00D57BFC"/>
    <w:rsid w:val="00D6798B"/>
    <w:rsid w:val="00D72220"/>
    <w:rsid w:val="00D77E58"/>
    <w:rsid w:val="00D867D1"/>
    <w:rsid w:val="00DA0062"/>
    <w:rsid w:val="00DA6C82"/>
    <w:rsid w:val="00DC2944"/>
    <w:rsid w:val="00DF4653"/>
    <w:rsid w:val="00E176DA"/>
    <w:rsid w:val="00E23441"/>
    <w:rsid w:val="00E426D1"/>
    <w:rsid w:val="00E74BE8"/>
    <w:rsid w:val="00EB105C"/>
    <w:rsid w:val="00EB3638"/>
    <w:rsid w:val="00EC448E"/>
    <w:rsid w:val="00F02F03"/>
    <w:rsid w:val="00F3176B"/>
    <w:rsid w:val="00F67E33"/>
    <w:rsid w:val="00FC64B0"/>
    <w:rsid w:val="00FF4EF9"/>
    <w:rsid w:val="00FF6D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8C95E81"/>
  <w15:chartTrackingRefBased/>
  <w15:docId w15:val="{32C9A931-D64D-48F7-9B7D-C3C0023B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overflowPunct w:val="0"/>
      <w:autoSpaceDE w:val="0"/>
      <w:autoSpaceDN w:val="0"/>
      <w:adjustRightInd w:val="0"/>
      <w:textAlignment w:val="baseline"/>
    </w:pPr>
    <w:rPr>
      <w:rFonts w:ascii="Dutch Roman 12pt" w:hAnsi="Dutch Roman 12pt"/>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style>
  <w:style w:type="character" w:styleId="Endnotenzeichen">
    <w:name w:val="endnote reference"/>
    <w:semiHidden/>
    <w:rPr>
      <w:vertAlign w:val="superscript"/>
    </w:rPr>
  </w:style>
  <w:style w:type="paragraph" w:styleId="Funotentext">
    <w:name w:val="footnote text"/>
    <w:basedOn w:val="Standard"/>
    <w:semiHidden/>
  </w:style>
  <w:style w:type="character" w:styleId="Funotenzeichen">
    <w:name w:val="footnote reference"/>
    <w:semiHidden/>
    <w:rPr>
      <w:vertAlign w:val="superscript"/>
    </w:rPr>
  </w:style>
  <w:style w:type="character" w:customStyle="1" w:styleId="klein">
    <w:name w:val="klein"/>
    <w:rPr>
      <w:rFonts w:ascii="Arial Narrow" w:hAnsi="Arial Narrow"/>
      <w:noProof w:val="0"/>
      <w:sz w:val="16"/>
      <w:lang w:val="en-US"/>
    </w:rPr>
  </w:style>
  <w:style w:type="character" w:customStyle="1" w:styleId="berschr-1">
    <w:name w:val="Überschr-1"/>
    <w:rPr>
      <w:rFonts w:ascii="Dutch Roman 12pt" w:hAnsi="Dutch Roman 12pt"/>
      <w:noProof w:val="0"/>
      <w:sz w:val="24"/>
      <w:lang w:val="en-US"/>
    </w:rPr>
  </w:style>
  <w:style w:type="character" w:customStyle="1" w:styleId="berschr-2">
    <w:name w:val="Überschr-2"/>
    <w:rPr>
      <w:rFonts w:ascii="Dutch Roman 12pt" w:hAnsi="Dutch Roman 12pt"/>
      <w:noProof w:val="0"/>
      <w:sz w:val="24"/>
      <w:lang w:val="en-US"/>
    </w:rPr>
  </w:style>
  <w:style w:type="character" w:customStyle="1" w:styleId="berschr-3">
    <w:name w:val="Überschr-3"/>
    <w:rPr>
      <w:rFonts w:ascii="Dutch Roman 12pt" w:hAnsi="Dutch Roman 12pt"/>
      <w:noProof w:val="0"/>
      <w:sz w:val="24"/>
      <w:lang w:val="en-US"/>
    </w:rPr>
  </w:style>
  <w:style w:type="character" w:customStyle="1" w:styleId="berschr-4">
    <w:name w:val="Überschr-4"/>
    <w:rPr>
      <w:rFonts w:ascii="Dutch Roman 12pt" w:hAnsi="Dutch Roman 12pt"/>
      <w:noProof w:val="0"/>
      <w:sz w:val="24"/>
      <w:lang w:val="en-US"/>
    </w:rPr>
  </w:style>
  <w:style w:type="character" w:customStyle="1" w:styleId="berschr-5">
    <w:name w:val="Überschr-5"/>
    <w:rPr>
      <w:rFonts w:ascii="Dutch Roman 12pt" w:hAnsi="Dutch Roman 12pt"/>
      <w:noProof w:val="0"/>
      <w:sz w:val="24"/>
      <w:lang w:val="en-US"/>
    </w:rPr>
  </w:style>
  <w:style w:type="character" w:customStyle="1" w:styleId="Kopftext">
    <w:name w:val="Kopftext"/>
    <w:rPr>
      <w:rFonts w:ascii="Dutch Roman 12pt" w:hAnsi="Dutch Roman 12pt"/>
      <w:noProof w:val="0"/>
      <w:sz w:val="24"/>
      <w:lang w:val="en-US"/>
    </w:rPr>
  </w:style>
  <w:style w:type="paragraph" w:styleId="Verzeichnis1">
    <w:name w:val="toc 1"/>
    <w:basedOn w:val="Standard"/>
    <w:next w:val="Standard"/>
    <w:semiHidden/>
    <w:pPr>
      <w:tabs>
        <w:tab w:val="right" w:leader="dot" w:pos="9360"/>
      </w:tabs>
      <w:suppressAutoHyphens/>
      <w:spacing w:before="480"/>
      <w:ind w:left="720" w:right="720" w:hanging="720"/>
    </w:pPr>
    <w:rPr>
      <w:lang w:val="en-US"/>
    </w:rPr>
  </w:style>
  <w:style w:type="paragraph" w:styleId="Verzeichnis2">
    <w:name w:val="toc 2"/>
    <w:basedOn w:val="Standard"/>
    <w:next w:val="Standard"/>
    <w:semiHidden/>
    <w:pPr>
      <w:tabs>
        <w:tab w:val="right" w:leader="dot" w:pos="9360"/>
      </w:tabs>
      <w:suppressAutoHyphens/>
      <w:ind w:left="720" w:right="720"/>
    </w:pPr>
    <w:rPr>
      <w:lang w:val="en-US"/>
    </w:rPr>
  </w:style>
  <w:style w:type="paragraph" w:styleId="Verzeichnis3">
    <w:name w:val="toc 3"/>
    <w:basedOn w:val="Standard"/>
    <w:next w:val="Standard"/>
    <w:semiHidden/>
    <w:pPr>
      <w:tabs>
        <w:tab w:val="right" w:leader="dot" w:pos="9360"/>
      </w:tabs>
      <w:suppressAutoHyphens/>
      <w:ind w:left="720" w:right="720"/>
    </w:pPr>
    <w:rPr>
      <w:lang w:val="en-US"/>
    </w:rPr>
  </w:style>
  <w:style w:type="paragraph" w:styleId="Verzeichnis4">
    <w:name w:val="toc 4"/>
    <w:basedOn w:val="Standard"/>
    <w:next w:val="Standard"/>
    <w:semiHidden/>
    <w:pPr>
      <w:tabs>
        <w:tab w:val="right" w:leader="dot" w:pos="9360"/>
      </w:tabs>
      <w:suppressAutoHyphens/>
      <w:ind w:left="720" w:right="720"/>
    </w:pPr>
    <w:rPr>
      <w:lang w:val="en-US"/>
    </w:rPr>
  </w:style>
  <w:style w:type="paragraph" w:styleId="Verzeichnis5">
    <w:name w:val="toc 5"/>
    <w:basedOn w:val="Standard"/>
    <w:next w:val="Standard"/>
    <w:semiHidden/>
    <w:pPr>
      <w:tabs>
        <w:tab w:val="right" w:leader="dot" w:pos="9360"/>
      </w:tabs>
      <w:suppressAutoHyphens/>
      <w:ind w:left="720" w:right="720"/>
    </w:pPr>
    <w:rPr>
      <w:lang w:val="en-US"/>
    </w:rPr>
  </w:style>
  <w:style w:type="paragraph" w:styleId="Verzeichnis6">
    <w:name w:val="toc 6"/>
    <w:basedOn w:val="Standard"/>
    <w:next w:val="Standard"/>
    <w:semiHidden/>
    <w:pPr>
      <w:tabs>
        <w:tab w:val="right" w:pos="9360"/>
      </w:tabs>
      <w:suppressAutoHyphens/>
      <w:ind w:left="720" w:hanging="720"/>
    </w:pPr>
    <w:rPr>
      <w:lang w:val="en-US"/>
    </w:rPr>
  </w:style>
  <w:style w:type="paragraph" w:styleId="Verzeichnis7">
    <w:name w:val="toc 7"/>
    <w:basedOn w:val="Standard"/>
    <w:next w:val="Standard"/>
    <w:semiHidden/>
    <w:pPr>
      <w:suppressAutoHyphens/>
      <w:ind w:left="720" w:hanging="720"/>
    </w:pPr>
    <w:rPr>
      <w:lang w:val="en-US"/>
    </w:rPr>
  </w:style>
  <w:style w:type="paragraph" w:styleId="Verzeichnis8">
    <w:name w:val="toc 8"/>
    <w:basedOn w:val="Standard"/>
    <w:next w:val="Standard"/>
    <w:semiHidden/>
    <w:pPr>
      <w:tabs>
        <w:tab w:val="right" w:pos="9360"/>
      </w:tabs>
      <w:suppressAutoHyphens/>
      <w:ind w:left="720" w:hanging="720"/>
    </w:pPr>
    <w:rPr>
      <w:lang w:val="en-US"/>
    </w:rPr>
  </w:style>
  <w:style w:type="paragraph" w:styleId="Verzeichnis9">
    <w:name w:val="toc 9"/>
    <w:basedOn w:val="Standard"/>
    <w:next w:val="Standard"/>
    <w:semiHidden/>
    <w:pPr>
      <w:tabs>
        <w:tab w:val="right" w:leader="dot" w:pos="9360"/>
      </w:tabs>
      <w:suppressAutoHyphens/>
      <w:ind w:left="720" w:hanging="720"/>
    </w:pPr>
    <w:rPr>
      <w:lang w:val="en-US"/>
    </w:rPr>
  </w:style>
  <w:style w:type="paragraph" w:styleId="Index1">
    <w:name w:val="index 1"/>
    <w:basedOn w:val="Standard"/>
    <w:next w:val="Standard"/>
    <w:semiHidden/>
    <w:pPr>
      <w:tabs>
        <w:tab w:val="right" w:leader="dot" w:pos="9360"/>
      </w:tabs>
      <w:suppressAutoHyphens/>
      <w:ind w:left="720" w:hanging="720"/>
    </w:pPr>
    <w:rPr>
      <w:lang w:val="en-US"/>
    </w:rPr>
  </w:style>
  <w:style w:type="paragraph" w:styleId="Index2">
    <w:name w:val="index 2"/>
    <w:basedOn w:val="Standard"/>
    <w:next w:val="Standard"/>
    <w:semiHidden/>
    <w:pPr>
      <w:tabs>
        <w:tab w:val="right" w:leader="dot" w:pos="9360"/>
      </w:tabs>
      <w:suppressAutoHyphens/>
      <w:ind w:left="720"/>
    </w:pPr>
    <w:rPr>
      <w:lang w:val="en-US"/>
    </w:rPr>
  </w:style>
  <w:style w:type="paragraph" w:styleId="RGV-berschrift">
    <w:name w:val="toa heading"/>
    <w:basedOn w:val="Standard"/>
    <w:semiHidden/>
    <w:pPr>
      <w:tabs>
        <w:tab w:val="right" w:pos="9360"/>
      </w:tabs>
      <w:suppressAutoHyphens/>
    </w:pPr>
    <w:rPr>
      <w:lang w:val="en-US"/>
    </w:rPr>
  </w:style>
  <w:style w:type="paragraph" w:styleId="Beschriftung">
    <w:name w:val="caption"/>
    <w:basedOn w:val="Standard"/>
    <w:next w:val="Standard"/>
    <w:qFormat/>
  </w:style>
  <w:style w:type="character" w:customStyle="1" w:styleId="EquationCaption">
    <w:name w:val="_Equation Caption"/>
  </w:style>
  <w:style w:type="paragraph" w:styleId="Sprechblasentext">
    <w:name w:val="Balloon Text"/>
    <w:basedOn w:val="Standard"/>
    <w:semiHidden/>
    <w:rsid w:val="00DE694F"/>
    <w:rPr>
      <w:rFonts w:ascii="Tahoma" w:hAnsi="Tahoma" w:cs="Tahoma"/>
      <w:sz w:val="16"/>
      <w:szCs w:val="16"/>
    </w:rPr>
  </w:style>
  <w:style w:type="paragraph" w:customStyle="1" w:styleId="DunkleListe-Akzent31">
    <w:name w:val="Dunkle Liste - Akzent 31"/>
    <w:hidden/>
    <w:uiPriority w:val="71"/>
    <w:rsid w:val="00C815EA"/>
    <w:rPr>
      <w:rFonts w:ascii="Dutch Roman 12pt" w:hAnsi="Dutch Roman 12pt"/>
      <w:sz w:val="24"/>
    </w:rPr>
  </w:style>
  <w:style w:type="character" w:styleId="Kommentarzeichen">
    <w:name w:val="annotation reference"/>
    <w:uiPriority w:val="99"/>
    <w:semiHidden/>
    <w:unhideWhenUsed/>
    <w:rsid w:val="00C815EA"/>
    <w:rPr>
      <w:sz w:val="18"/>
      <w:szCs w:val="18"/>
    </w:rPr>
  </w:style>
  <w:style w:type="paragraph" w:styleId="Kommentartext">
    <w:name w:val="annotation text"/>
    <w:basedOn w:val="Standard"/>
    <w:link w:val="KommentartextZchn"/>
    <w:uiPriority w:val="99"/>
    <w:semiHidden/>
    <w:unhideWhenUsed/>
    <w:rsid w:val="00C815EA"/>
    <w:rPr>
      <w:szCs w:val="24"/>
    </w:rPr>
  </w:style>
  <w:style w:type="character" w:customStyle="1" w:styleId="KommentartextZchn">
    <w:name w:val="Kommentartext Zchn"/>
    <w:link w:val="Kommentartext"/>
    <w:uiPriority w:val="99"/>
    <w:semiHidden/>
    <w:rsid w:val="00C815EA"/>
    <w:rPr>
      <w:rFonts w:ascii="Dutch Roman 12pt" w:hAnsi="Dutch Roman 12pt"/>
      <w:sz w:val="24"/>
      <w:szCs w:val="24"/>
    </w:rPr>
  </w:style>
  <w:style w:type="paragraph" w:styleId="Kommentarthema">
    <w:name w:val="annotation subject"/>
    <w:basedOn w:val="Kommentartext"/>
    <w:next w:val="Kommentartext"/>
    <w:link w:val="KommentarthemaZchn"/>
    <w:uiPriority w:val="99"/>
    <w:semiHidden/>
    <w:unhideWhenUsed/>
    <w:rsid w:val="00C815EA"/>
    <w:rPr>
      <w:b/>
      <w:bCs/>
      <w:sz w:val="20"/>
      <w:szCs w:val="20"/>
    </w:rPr>
  </w:style>
  <w:style w:type="character" w:customStyle="1" w:styleId="KommentarthemaZchn">
    <w:name w:val="Kommentarthema Zchn"/>
    <w:link w:val="Kommentarthema"/>
    <w:uiPriority w:val="99"/>
    <w:semiHidden/>
    <w:rsid w:val="00C815EA"/>
    <w:rPr>
      <w:rFonts w:ascii="Dutch Roman 12pt" w:hAnsi="Dutch Roman 12pt"/>
      <w:b/>
      <w:bCs/>
      <w:sz w:val="24"/>
      <w:szCs w:val="24"/>
    </w:rPr>
  </w:style>
  <w:style w:type="paragraph" w:styleId="berarbeitung">
    <w:name w:val="Revision"/>
    <w:hidden/>
    <w:uiPriority w:val="71"/>
    <w:rsid w:val="00DA6C82"/>
    <w:rPr>
      <w:rFonts w:ascii="Dutch Roman 12pt" w:hAnsi="Dutch Roman 12p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692309">
      <w:bodyDiv w:val="1"/>
      <w:marLeft w:val="0"/>
      <w:marRight w:val="0"/>
      <w:marTop w:val="0"/>
      <w:marBottom w:val="0"/>
      <w:divBdr>
        <w:top w:val="none" w:sz="0" w:space="0" w:color="auto"/>
        <w:left w:val="none" w:sz="0" w:space="0" w:color="auto"/>
        <w:bottom w:val="none" w:sz="0" w:space="0" w:color="auto"/>
        <w:right w:val="none" w:sz="0" w:space="0" w:color="auto"/>
      </w:divBdr>
    </w:div>
    <w:div w:id="142195353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DAC9E12-AB6E-4C51-9692-C4FA11680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1361</Words>
  <Characters>8576</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09. Kausalität [VorlAT]</vt:lpstr>
    </vt:vector>
  </TitlesOfParts>
  <Company>Humboldt Universität zu Berlin</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 Kausalität [VorlAT]</dc:title>
  <dc:subject/>
  <dc:creator>Professor Dr. Bernd Heinrich</dc:creator>
  <cp:keywords/>
  <dc:description/>
  <cp:lastModifiedBy>Judith Schult</cp:lastModifiedBy>
  <cp:revision>2</cp:revision>
  <cp:lastPrinted>2020-10-23T16:15:00Z</cp:lastPrinted>
  <dcterms:created xsi:type="dcterms:W3CDTF">2024-10-10T15:37:00Z</dcterms:created>
  <dcterms:modified xsi:type="dcterms:W3CDTF">2024-10-10T15:37:00Z</dcterms:modified>
</cp:coreProperties>
</file>