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9F2" w14:textId="2AD429D2" w:rsidR="007F2A4C" w:rsidRPr="0046078E" w:rsidRDefault="007F2A4C" w:rsidP="00133979">
      <w:pPr>
        <w:tabs>
          <w:tab w:val="right" w:pos="9923"/>
        </w:tabs>
        <w:jc w:val="both"/>
        <w:rPr>
          <w:spacing w:val="-3"/>
          <w:sz w:val="16"/>
          <w:szCs w:val="16"/>
        </w:rPr>
      </w:pPr>
      <w:r>
        <w:rPr>
          <w:b/>
          <w:spacing w:val="-3"/>
        </w:rPr>
        <w:t xml:space="preserve">Prof. Dr. </w:t>
      </w:r>
      <w:r w:rsidR="0057741B">
        <w:rPr>
          <w:b/>
          <w:spacing w:val="-3"/>
        </w:rPr>
        <w:t xml:space="preserve">Dr. h.c. </w:t>
      </w:r>
      <w:r>
        <w:rPr>
          <w:b/>
          <w:spacing w:val="-3"/>
        </w:rPr>
        <w:t>Bernd Heinrich/</w:t>
      </w:r>
      <w:r w:rsidR="00DF39B8">
        <w:rPr>
          <w:b/>
          <w:spacing w:val="-3"/>
        </w:rPr>
        <w:t>Pr</w:t>
      </w:r>
      <w:r w:rsidR="00556664">
        <w:rPr>
          <w:b/>
          <w:spacing w:val="-3"/>
        </w:rPr>
        <w:t>of</w:t>
      </w:r>
      <w:r w:rsidR="00DF39B8">
        <w:rPr>
          <w:b/>
          <w:spacing w:val="-3"/>
        </w:rPr>
        <w:t xml:space="preserve">. </w:t>
      </w:r>
      <w:r>
        <w:rPr>
          <w:b/>
          <w:spacing w:val="-3"/>
        </w:rPr>
        <w:t>Dr. Tobias Reinbacher</w:t>
      </w:r>
      <w:r>
        <w:rPr>
          <w:b/>
          <w:spacing w:val="-3"/>
        </w:rPr>
        <w:tab/>
        <w:t xml:space="preserve">Stand: 1. </w:t>
      </w:r>
      <w:r w:rsidR="003A1FB6">
        <w:rPr>
          <w:b/>
          <w:spacing w:val="-3"/>
        </w:rPr>
        <w:t>Oktober</w:t>
      </w:r>
      <w:r w:rsidR="003855DA">
        <w:rPr>
          <w:b/>
          <w:spacing w:val="-3"/>
        </w:rPr>
        <w:t xml:space="preserve"> </w:t>
      </w:r>
      <w:r w:rsidR="003E40E9">
        <w:rPr>
          <w:b/>
          <w:spacing w:val="-3"/>
        </w:rPr>
        <w:t>20</w:t>
      </w:r>
      <w:r w:rsidR="00FA125B">
        <w:rPr>
          <w:b/>
          <w:spacing w:val="-3"/>
        </w:rPr>
        <w:t>2</w:t>
      </w:r>
      <w:r w:rsidR="00465A88">
        <w:rPr>
          <w:b/>
          <w:spacing w:val="-3"/>
        </w:rPr>
        <w:t>4</w:t>
      </w:r>
    </w:p>
    <w:p w14:paraId="6C2056FD" w14:textId="5B152BB0" w:rsidR="007F2A4C" w:rsidRPr="00040FEA" w:rsidRDefault="007F2A4C" w:rsidP="00465A88">
      <w:pPr>
        <w:framePr w:w="9403" w:h="1417" w:hSpace="240" w:vSpace="120" w:wrap="auto" w:vAnchor="text" w:hAnchor="margin" w:x="241" w:y="126"/>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b/>
          <w:spacing w:val="-3"/>
        </w:rPr>
      </w:pPr>
      <w:r>
        <w:rPr>
          <w:b/>
          <w:spacing w:val="-3"/>
        </w:rPr>
        <w:t>Examinatorium Strafprozessrecht – Arbeitsblatt Nr.</w:t>
      </w:r>
      <w:r w:rsidR="00465A88">
        <w:rPr>
          <w:b/>
          <w:spacing w:val="-3"/>
        </w:rPr>
        <w:t> </w:t>
      </w:r>
      <w:r>
        <w:rPr>
          <w:b/>
          <w:spacing w:val="-3"/>
        </w:rPr>
        <w:t>49</w:t>
      </w:r>
    </w:p>
    <w:p w14:paraId="2FB60C17" w14:textId="77777777" w:rsidR="007F2A4C" w:rsidRPr="00133979" w:rsidRDefault="007F2A4C" w:rsidP="00774F80">
      <w:pPr>
        <w:framePr w:w="9403" w:h="1417" w:hSpace="240" w:vSpace="120" w:wrap="auto" w:vAnchor="text" w:hAnchor="margin" w:x="241" w:y="126"/>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133979">
        <w:rPr>
          <w:b/>
          <w:spacing w:val="-7"/>
          <w:sz w:val="52"/>
          <w:szCs w:val="52"/>
        </w:rPr>
        <w:t>Die Nebenklage</w:t>
      </w:r>
    </w:p>
    <w:p w14:paraId="75FAA2A6" w14:textId="77777777" w:rsidR="007F2A4C" w:rsidRDefault="007F2A4C" w:rsidP="00774F80">
      <w:pPr>
        <w:pStyle w:val="Beschriftung"/>
        <w:framePr w:w="9403" w:h="1417" w:hSpace="240" w:vSpace="120" w:wrap="auto" w:vAnchor="text" w:hAnchor="margin" w:x="241" w:y="126"/>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3D1CB8">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6E2045">
        <w:rPr>
          <w:rFonts w:ascii="Times New Roman" w:hAnsi="Times New Roman"/>
          <w:noProof/>
          <w:vanish/>
          <w:spacing w:val="-7"/>
          <w:sz w:val="60"/>
        </w:rPr>
        <w:t>1</w:t>
      </w:r>
      <w:r>
        <w:rPr>
          <w:rFonts w:ascii="Times New Roman" w:hAnsi="Times New Roman"/>
          <w:vanish/>
          <w:spacing w:val="-7"/>
          <w:sz w:val="60"/>
        </w:rPr>
        <w:fldChar w:fldCharType="end"/>
      </w:r>
    </w:p>
    <w:p w14:paraId="2B3EA168" w14:textId="77777777" w:rsidR="007F2A4C" w:rsidRDefault="007F2A4C">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8"/>
        </w:rPr>
      </w:pPr>
    </w:p>
    <w:p w14:paraId="1CC2EA3A" w14:textId="009B46CF" w:rsidR="007F2A4C" w:rsidRPr="0046078E" w:rsidRDefault="007F2A4C" w:rsidP="00E16268">
      <w:pPr>
        <w:widowControl/>
        <w:tabs>
          <w:tab w:val="left" w:pos="-720"/>
          <w:tab w:val="left" w:pos="567"/>
          <w:tab w:val="left" w:pos="864"/>
          <w:tab w:val="left" w:pos="1116"/>
          <w:tab w:val="left" w:pos="1404"/>
          <w:tab w:val="left" w:pos="1692"/>
          <w:tab w:val="left" w:pos="1980"/>
          <w:tab w:val="left" w:pos="2268"/>
          <w:tab w:val="left" w:pos="2880"/>
        </w:tabs>
        <w:spacing w:line="228" w:lineRule="auto"/>
        <w:ind w:left="284" w:hanging="284"/>
        <w:jc w:val="both"/>
        <w:rPr>
          <w:rFonts w:ascii="Times New Roman" w:hAnsi="Times New Roman"/>
          <w:spacing w:val="-2"/>
          <w:sz w:val="21"/>
          <w:szCs w:val="21"/>
        </w:rPr>
      </w:pPr>
      <w:r w:rsidRPr="0046078E">
        <w:rPr>
          <w:rFonts w:ascii="Times New Roman" w:hAnsi="Times New Roman"/>
          <w:b/>
          <w:spacing w:val="-2"/>
          <w:sz w:val="21"/>
          <w:szCs w:val="21"/>
        </w:rPr>
        <w:t>I.</w:t>
      </w:r>
      <w:r w:rsidRPr="0046078E">
        <w:rPr>
          <w:rFonts w:ascii="Times New Roman" w:hAnsi="Times New Roman"/>
          <w:b/>
          <w:spacing w:val="-2"/>
          <w:sz w:val="21"/>
          <w:szCs w:val="21"/>
        </w:rPr>
        <w:tab/>
        <w:t>Allgemeines:</w:t>
      </w:r>
      <w:r w:rsidRPr="0046078E">
        <w:rPr>
          <w:rFonts w:ascii="Times New Roman" w:hAnsi="Times New Roman"/>
          <w:spacing w:val="-2"/>
          <w:sz w:val="21"/>
          <w:szCs w:val="21"/>
        </w:rPr>
        <w:t xml:space="preserve"> Bei bestimmten, in §</w:t>
      </w:r>
      <w:r w:rsidR="00465A88">
        <w:rPr>
          <w:rFonts w:ascii="Times New Roman" w:hAnsi="Times New Roman"/>
          <w:spacing w:val="-2"/>
          <w:sz w:val="21"/>
          <w:szCs w:val="21"/>
        </w:rPr>
        <w:t> </w:t>
      </w:r>
      <w:r w:rsidRPr="0046078E">
        <w:rPr>
          <w:rFonts w:ascii="Times New Roman" w:hAnsi="Times New Roman"/>
          <w:spacing w:val="-2"/>
          <w:sz w:val="21"/>
          <w:szCs w:val="21"/>
        </w:rPr>
        <w:t xml:space="preserve">395 StPO einzeln aufgezählten </w:t>
      </w:r>
      <w:r w:rsidR="00465A88">
        <w:rPr>
          <w:rFonts w:ascii="Times New Roman" w:hAnsi="Times New Roman"/>
          <w:spacing w:val="-2"/>
          <w:sz w:val="21"/>
          <w:szCs w:val="21"/>
        </w:rPr>
        <w:t>Fällen</w:t>
      </w:r>
      <w:r w:rsidR="00465A88" w:rsidRPr="0046078E">
        <w:rPr>
          <w:rFonts w:ascii="Times New Roman" w:hAnsi="Times New Roman"/>
          <w:spacing w:val="-2"/>
          <w:sz w:val="21"/>
          <w:szCs w:val="21"/>
        </w:rPr>
        <w:t xml:space="preserve"> </w:t>
      </w:r>
      <w:r w:rsidRPr="0046078E">
        <w:rPr>
          <w:rFonts w:ascii="Times New Roman" w:hAnsi="Times New Roman"/>
          <w:spacing w:val="-2"/>
          <w:sz w:val="21"/>
          <w:szCs w:val="21"/>
        </w:rPr>
        <w:t xml:space="preserve">kann der Verletzte neben der </w:t>
      </w:r>
      <w:proofErr w:type="spellStart"/>
      <w:r w:rsidRPr="0046078E">
        <w:rPr>
          <w:rFonts w:ascii="Times New Roman" w:hAnsi="Times New Roman"/>
          <w:spacing w:val="-2"/>
          <w:sz w:val="21"/>
          <w:szCs w:val="21"/>
        </w:rPr>
        <w:t>StA</w:t>
      </w:r>
      <w:proofErr w:type="spellEnd"/>
      <w:r w:rsidRPr="0046078E">
        <w:rPr>
          <w:rFonts w:ascii="Times New Roman" w:hAnsi="Times New Roman"/>
          <w:spacing w:val="-2"/>
          <w:sz w:val="21"/>
          <w:szCs w:val="21"/>
        </w:rPr>
        <w:t xml:space="preserve"> als Nebenkläger auftreten. Der Nebenkläger kann nicht von sich aus ein Verfahren in Gang setzten, sondern er kann sich lediglich einem bereits eingeleiteten Offizialverfahren (vgl. dazu Arbeitsblatt Nr. 5) anschließen. Somit ist die Nebenklage akzessorisch zur öffentlichen Klage. Der Nebenkläger kann als Verfahrensbeteiligter jedoch unabhängig von der </w:t>
      </w:r>
      <w:proofErr w:type="spellStart"/>
      <w:r w:rsidRPr="0046078E">
        <w:rPr>
          <w:rFonts w:ascii="Times New Roman" w:hAnsi="Times New Roman"/>
          <w:spacing w:val="-2"/>
          <w:sz w:val="21"/>
          <w:szCs w:val="21"/>
        </w:rPr>
        <w:t>StA</w:t>
      </w:r>
      <w:proofErr w:type="spellEnd"/>
      <w:r w:rsidRPr="0046078E">
        <w:rPr>
          <w:rFonts w:ascii="Times New Roman" w:hAnsi="Times New Roman"/>
          <w:spacing w:val="-2"/>
          <w:sz w:val="21"/>
          <w:szCs w:val="21"/>
        </w:rPr>
        <w:t xml:space="preserve"> seine in § 397 StPO aufgeführten Rechte ausüben. Die Nebenklage ist in den §§</w:t>
      </w:r>
      <w:r w:rsidR="00465A88">
        <w:rPr>
          <w:rFonts w:ascii="Times New Roman" w:hAnsi="Times New Roman"/>
          <w:spacing w:val="-2"/>
          <w:sz w:val="21"/>
          <w:szCs w:val="21"/>
        </w:rPr>
        <w:t> </w:t>
      </w:r>
      <w:r w:rsidRPr="0046078E">
        <w:rPr>
          <w:rFonts w:ascii="Times New Roman" w:hAnsi="Times New Roman"/>
          <w:spacing w:val="-2"/>
          <w:sz w:val="21"/>
          <w:szCs w:val="21"/>
        </w:rPr>
        <w:t>395-402 StPO geregelt.</w:t>
      </w:r>
    </w:p>
    <w:p w14:paraId="7CA06592" w14:textId="77777777" w:rsidR="007F2A4C" w:rsidRPr="0046078E" w:rsidRDefault="007F2A4C" w:rsidP="00E16268">
      <w:pPr>
        <w:widowControl/>
        <w:tabs>
          <w:tab w:val="left" w:pos="-720"/>
          <w:tab w:val="left" w:pos="288"/>
          <w:tab w:val="left" w:pos="567"/>
          <w:tab w:val="left" w:pos="864"/>
          <w:tab w:val="left" w:pos="1116"/>
          <w:tab w:val="left" w:pos="1404"/>
          <w:tab w:val="left" w:pos="1692"/>
          <w:tab w:val="left" w:pos="1980"/>
          <w:tab w:val="left" w:pos="2268"/>
          <w:tab w:val="left" w:pos="2880"/>
        </w:tabs>
        <w:spacing w:before="120" w:line="228" w:lineRule="auto"/>
        <w:ind w:left="567" w:hanging="567"/>
        <w:jc w:val="both"/>
        <w:rPr>
          <w:rFonts w:ascii="Times New Roman" w:hAnsi="Times New Roman"/>
          <w:b/>
          <w:spacing w:val="-2"/>
          <w:sz w:val="21"/>
          <w:szCs w:val="21"/>
        </w:rPr>
      </w:pPr>
      <w:r w:rsidRPr="0046078E">
        <w:rPr>
          <w:rFonts w:ascii="Times New Roman" w:hAnsi="Times New Roman"/>
          <w:b/>
          <w:spacing w:val="-2"/>
          <w:sz w:val="21"/>
          <w:szCs w:val="21"/>
        </w:rPr>
        <w:t>II.</w:t>
      </w:r>
      <w:r w:rsidRPr="0046078E">
        <w:rPr>
          <w:rFonts w:ascii="Times New Roman" w:hAnsi="Times New Roman"/>
          <w:b/>
          <w:spacing w:val="-2"/>
          <w:sz w:val="21"/>
          <w:szCs w:val="21"/>
        </w:rPr>
        <w:tab/>
        <w:t>Funktionen:</w:t>
      </w:r>
      <w:r w:rsidRPr="0046078E">
        <w:rPr>
          <w:rFonts w:ascii="Times New Roman" w:hAnsi="Times New Roman"/>
          <w:spacing w:val="-2"/>
          <w:sz w:val="21"/>
          <w:szCs w:val="21"/>
        </w:rPr>
        <w:t xml:space="preserve"> </w:t>
      </w:r>
    </w:p>
    <w:p w14:paraId="30657C37" w14:textId="77777777" w:rsidR="007F2A4C" w:rsidRPr="0046078E" w:rsidRDefault="007F2A4C" w:rsidP="00E16268">
      <w:pPr>
        <w:widowControl/>
        <w:tabs>
          <w:tab w:val="left" w:pos="-720"/>
          <w:tab w:val="left" w:pos="288"/>
          <w:tab w:val="left" w:pos="567"/>
          <w:tab w:val="left" w:pos="864"/>
          <w:tab w:val="left" w:pos="1116"/>
          <w:tab w:val="left" w:pos="1404"/>
          <w:tab w:val="left" w:pos="1692"/>
          <w:tab w:val="left" w:pos="1980"/>
          <w:tab w:val="left" w:pos="2268"/>
          <w:tab w:val="left" w:pos="2880"/>
        </w:tabs>
        <w:spacing w:line="228" w:lineRule="auto"/>
        <w:ind w:left="567" w:hanging="567"/>
        <w:jc w:val="both"/>
        <w:rPr>
          <w:rFonts w:ascii="Times New Roman" w:hAnsi="Times New Roman"/>
          <w:spacing w:val="-2"/>
          <w:sz w:val="21"/>
          <w:szCs w:val="21"/>
        </w:rPr>
      </w:pPr>
      <w:r w:rsidRPr="0046078E">
        <w:rPr>
          <w:rFonts w:ascii="Times New Roman" w:hAnsi="Times New Roman"/>
          <w:spacing w:val="-2"/>
          <w:sz w:val="21"/>
          <w:szCs w:val="21"/>
        </w:rPr>
        <w:tab/>
      </w:r>
      <w:r w:rsidRPr="0046078E">
        <w:rPr>
          <w:rFonts w:ascii="Times New Roman" w:hAnsi="Times New Roman"/>
          <w:spacing w:val="-2"/>
          <w:sz w:val="21"/>
          <w:szCs w:val="21"/>
          <w:u w:val="single"/>
        </w:rPr>
        <w:t xml:space="preserve">1. </w:t>
      </w:r>
      <w:r w:rsidRPr="0046078E">
        <w:rPr>
          <w:rFonts w:ascii="Times New Roman" w:hAnsi="Times New Roman"/>
          <w:spacing w:val="-2"/>
          <w:sz w:val="21"/>
          <w:szCs w:val="21"/>
          <w:u w:val="single"/>
        </w:rPr>
        <w:tab/>
        <w:t>Genugtuungs- und Restitutionsinteresse:</w:t>
      </w:r>
      <w:r w:rsidRPr="0046078E">
        <w:rPr>
          <w:rFonts w:ascii="Times New Roman" w:hAnsi="Times New Roman"/>
          <w:spacing w:val="-2"/>
          <w:sz w:val="21"/>
          <w:szCs w:val="21"/>
        </w:rPr>
        <w:t xml:space="preserve"> Der Nebenkläger ist persönlich besonders intensiv von der Tat betroffen und kann so neben der </w:t>
      </w:r>
      <w:proofErr w:type="spellStart"/>
      <w:r w:rsidRPr="0046078E">
        <w:rPr>
          <w:rFonts w:ascii="Times New Roman" w:hAnsi="Times New Roman"/>
          <w:spacing w:val="-2"/>
          <w:sz w:val="21"/>
          <w:szCs w:val="21"/>
        </w:rPr>
        <w:t>StA</w:t>
      </w:r>
      <w:proofErr w:type="spellEnd"/>
      <w:r w:rsidRPr="0046078E">
        <w:rPr>
          <w:rFonts w:ascii="Times New Roman" w:hAnsi="Times New Roman"/>
          <w:spacing w:val="-2"/>
          <w:sz w:val="21"/>
          <w:szCs w:val="21"/>
        </w:rPr>
        <w:t xml:space="preserve"> die Bestrafung des Angeklagten vorantreiben.</w:t>
      </w:r>
    </w:p>
    <w:p w14:paraId="405B0C4B" w14:textId="77777777" w:rsidR="007F2A4C" w:rsidRPr="0046078E" w:rsidRDefault="007F2A4C" w:rsidP="00E16268">
      <w:pPr>
        <w:widowControl/>
        <w:tabs>
          <w:tab w:val="left" w:pos="-720"/>
          <w:tab w:val="left" w:pos="288"/>
          <w:tab w:val="left" w:pos="567"/>
          <w:tab w:val="left" w:pos="864"/>
          <w:tab w:val="left" w:pos="1116"/>
          <w:tab w:val="left" w:pos="1404"/>
          <w:tab w:val="left" w:pos="1692"/>
          <w:tab w:val="left" w:pos="1980"/>
          <w:tab w:val="left" w:pos="2268"/>
          <w:tab w:val="left" w:pos="2880"/>
        </w:tabs>
        <w:spacing w:line="228" w:lineRule="auto"/>
        <w:ind w:left="567" w:hanging="567"/>
        <w:jc w:val="both"/>
        <w:rPr>
          <w:rFonts w:ascii="Times New Roman" w:hAnsi="Times New Roman"/>
          <w:spacing w:val="-2"/>
          <w:sz w:val="21"/>
          <w:szCs w:val="21"/>
        </w:rPr>
      </w:pPr>
      <w:r w:rsidRPr="0046078E">
        <w:rPr>
          <w:rFonts w:ascii="Times New Roman" w:hAnsi="Times New Roman"/>
          <w:spacing w:val="-2"/>
          <w:sz w:val="21"/>
          <w:szCs w:val="21"/>
        </w:rPr>
        <w:tab/>
      </w:r>
      <w:r w:rsidRPr="0046078E">
        <w:rPr>
          <w:rFonts w:ascii="Times New Roman" w:hAnsi="Times New Roman"/>
          <w:spacing w:val="-2"/>
          <w:sz w:val="21"/>
          <w:szCs w:val="21"/>
          <w:u w:val="single"/>
        </w:rPr>
        <w:t xml:space="preserve">2. </w:t>
      </w:r>
      <w:r w:rsidRPr="0046078E">
        <w:rPr>
          <w:rFonts w:ascii="Times New Roman" w:hAnsi="Times New Roman"/>
          <w:spacing w:val="-2"/>
          <w:sz w:val="21"/>
          <w:szCs w:val="21"/>
          <w:u w:val="single"/>
        </w:rPr>
        <w:tab/>
        <w:t>Kontroll- und Aufklärungsfunktion:</w:t>
      </w:r>
      <w:r w:rsidRPr="0046078E">
        <w:rPr>
          <w:rFonts w:ascii="Times New Roman" w:hAnsi="Times New Roman"/>
          <w:spacing w:val="-2"/>
          <w:sz w:val="21"/>
          <w:szCs w:val="21"/>
        </w:rPr>
        <w:t xml:space="preserve"> Der Gesetzgeber hat dem Nebenkläger verschiedene Rechte zugestanden. Die Nebenklage dient daher gleichzeitig auch der Kontrolle der staatsanwaltlichen Tätigkeit.</w:t>
      </w:r>
    </w:p>
    <w:p w14:paraId="7FF36991" w14:textId="77777777" w:rsidR="007F2A4C" w:rsidRPr="0046078E" w:rsidRDefault="007F2A4C" w:rsidP="00E16268">
      <w:pPr>
        <w:widowControl/>
        <w:tabs>
          <w:tab w:val="left" w:pos="-720"/>
          <w:tab w:val="left" w:pos="864"/>
          <w:tab w:val="left" w:pos="1116"/>
          <w:tab w:val="left" w:pos="1404"/>
          <w:tab w:val="left" w:pos="1692"/>
          <w:tab w:val="left" w:pos="1980"/>
          <w:tab w:val="left" w:pos="2268"/>
          <w:tab w:val="left" w:pos="2880"/>
        </w:tabs>
        <w:spacing w:before="120" w:line="228" w:lineRule="auto"/>
        <w:ind w:left="284" w:hanging="284"/>
        <w:jc w:val="both"/>
        <w:rPr>
          <w:rFonts w:ascii="Times New Roman" w:hAnsi="Times New Roman"/>
          <w:spacing w:val="-2"/>
          <w:sz w:val="21"/>
          <w:szCs w:val="21"/>
        </w:rPr>
      </w:pPr>
      <w:r w:rsidRPr="0046078E">
        <w:rPr>
          <w:rFonts w:ascii="Times New Roman" w:hAnsi="Times New Roman"/>
          <w:b/>
          <w:spacing w:val="-2"/>
          <w:sz w:val="21"/>
          <w:szCs w:val="21"/>
        </w:rPr>
        <w:t>III. Anschluss als Nebenkläger:</w:t>
      </w:r>
    </w:p>
    <w:p w14:paraId="3825D517" w14:textId="5FF820FB" w:rsidR="007F2A4C" w:rsidRPr="0046078E" w:rsidRDefault="007F2A4C" w:rsidP="00E16268">
      <w:pPr>
        <w:widowControl/>
        <w:tabs>
          <w:tab w:val="left" w:pos="-720"/>
          <w:tab w:val="left" w:pos="567"/>
          <w:tab w:val="left" w:pos="864"/>
          <w:tab w:val="left" w:pos="1116"/>
          <w:tab w:val="left" w:pos="1404"/>
          <w:tab w:val="left" w:pos="1692"/>
          <w:tab w:val="left" w:pos="1980"/>
          <w:tab w:val="left" w:pos="2268"/>
          <w:tab w:val="left" w:pos="2880"/>
        </w:tabs>
        <w:spacing w:line="228" w:lineRule="auto"/>
        <w:ind w:left="284" w:hanging="284"/>
        <w:jc w:val="both"/>
        <w:rPr>
          <w:rFonts w:ascii="Times New Roman" w:hAnsi="Times New Roman"/>
          <w:spacing w:val="-2"/>
          <w:sz w:val="21"/>
          <w:szCs w:val="21"/>
        </w:rPr>
      </w:pPr>
      <w:r w:rsidRPr="0046078E">
        <w:rPr>
          <w:rFonts w:ascii="Times New Roman" w:hAnsi="Times New Roman"/>
          <w:spacing w:val="-2"/>
          <w:sz w:val="21"/>
          <w:szCs w:val="21"/>
        </w:rPr>
        <w:tab/>
      </w:r>
      <w:r w:rsidRPr="0046078E">
        <w:rPr>
          <w:rFonts w:ascii="Times New Roman" w:hAnsi="Times New Roman"/>
          <w:spacing w:val="-2"/>
          <w:sz w:val="21"/>
          <w:szCs w:val="21"/>
          <w:u w:val="single"/>
        </w:rPr>
        <w:t xml:space="preserve">1. </w:t>
      </w:r>
      <w:r w:rsidRPr="0046078E">
        <w:rPr>
          <w:rFonts w:ascii="Times New Roman" w:hAnsi="Times New Roman"/>
          <w:spacing w:val="-2"/>
          <w:sz w:val="21"/>
          <w:szCs w:val="21"/>
          <w:u w:val="single"/>
        </w:rPr>
        <w:tab/>
        <w:t>Anschlussberechtig</w:t>
      </w:r>
      <w:r w:rsidR="00465A88">
        <w:rPr>
          <w:rFonts w:ascii="Times New Roman" w:hAnsi="Times New Roman"/>
          <w:spacing w:val="-2"/>
          <w:sz w:val="21"/>
          <w:szCs w:val="21"/>
          <w:u w:val="single"/>
        </w:rPr>
        <w:t>ung</w:t>
      </w:r>
      <w:r w:rsidRPr="0046078E">
        <w:rPr>
          <w:rFonts w:ascii="Times New Roman" w:hAnsi="Times New Roman"/>
          <w:spacing w:val="-2"/>
          <w:sz w:val="21"/>
          <w:szCs w:val="21"/>
        </w:rPr>
        <w:t>:</w:t>
      </w:r>
      <w:r w:rsidR="00465A88">
        <w:rPr>
          <w:rFonts w:ascii="Times New Roman" w:hAnsi="Times New Roman"/>
          <w:spacing w:val="-2"/>
          <w:sz w:val="21"/>
          <w:szCs w:val="21"/>
        </w:rPr>
        <w:t xml:space="preserve"> Anschlussberechtigt sind</w:t>
      </w:r>
    </w:p>
    <w:p w14:paraId="1E6C9F1C" w14:textId="4D161659" w:rsidR="004B3699" w:rsidRDefault="007F2A4C" w:rsidP="00E16268">
      <w:pPr>
        <w:widowControl/>
        <w:tabs>
          <w:tab w:val="left" w:pos="-720"/>
          <w:tab w:val="left" w:pos="567"/>
          <w:tab w:val="left" w:pos="864"/>
          <w:tab w:val="left" w:pos="1116"/>
          <w:tab w:val="left" w:pos="1404"/>
          <w:tab w:val="left" w:pos="1692"/>
          <w:tab w:val="left" w:pos="1980"/>
          <w:tab w:val="left" w:pos="2268"/>
          <w:tab w:val="left" w:pos="2880"/>
        </w:tabs>
        <w:spacing w:line="228" w:lineRule="auto"/>
        <w:ind w:left="284" w:hanging="284"/>
        <w:jc w:val="both"/>
        <w:rPr>
          <w:rFonts w:ascii="Times New Roman" w:hAnsi="Times New Roman"/>
          <w:spacing w:val="-2"/>
          <w:sz w:val="21"/>
          <w:szCs w:val="21"/>
        </w:rPr>
      </w:pPr>
      <w:r w:rsidRPr="0046078E">
        <w:rPr>
          <w:rFonts w:ascii="Times New Roman" w:hAnsi="Times New Roman"/>
          <w:spacing w:val="-2"/>
          <w:sz w:val="21"/>
          <w:szCs w:val="21"/>
        </w:rPr>
        <w:tab/>
      </w:r>
      <w:r w:rsidRPr="0046078E">
        <w:rPr>
          <w:rFonts w:ascii="Times New Roman" w:hAnsi="Times New Roman"/>
          <w:spacing w:val="-2"/>
          <w:sz w:val="21"/>
          <w:szCs w:val="21"/>
        </w:rPr>
        <w:tab/>
      </w:r>
      <w:r w:rsidRPr="0046078E">
        <w:rPr>
          <w:rFonts w:ascii="Times New Roman" w:hAnsi="Times New Roman" w:cs="Times New Roman"/>
          <w:spacing w:val="-2"/>
          <w:sz w:val="21"/>
          <w:szCs w:val="21"/>
        </w:rPr>
        <w:t>–</w:t>
      </w:r>
      <w:r w:rsidRPr="0046078E">
        <w:rPr>
          <w:rFonts w:ascii="Times New Roman" w:hAnsi="Times New Roman"/>
          <w:spacing w:val="-2"/>
          <w:sz w:val="21"/>
          <w:szCs w:val="21"/>
        </w:rPr>
        <w:tab/>
      </w:r>
      <w:r w:rsidR="00E03749">
        <w:rPr>
          <w:rFonts w:ascii="Times New Roman" w:hAnsi="Times New Roman"/>
          <w:spacing w:val="-2"/>
          <w:sz w:val="21"/>
          <w:szCs w:val="21"/>
        </w:rPr>
        <w:t xml:space="preserve">der </w:t>
      </w:r>
      <w:r w:rsidRPr="0046078E">
        <w:rPr>
          <w:rFonts w:ascii="Times New Roman" w:hAnsi="Times New Roman"/>
          <w:spacing w:val="-2"/>
          <w:sz w:val="21"/>
          <w:szCs w:val="21"/>
        </w:rPr>
        <w:t xml:space="preserve">Verletzte einer </w:t>
      </w:r>
      <w:r w:rsidR="004B3699">
        <w:rPr>
          <w:rFonts w:ascii="Times New Roman" w:hAnsi="Times New Roman"/>
          <w:spacing w:val="-2"/>
          <w:sz w:val="21"/>
          <w:szCs w:val="21"/>
        </w:rPr>
        <w:t xml:space="preserve">der </w:t>
      </w:r>
      <w:r w:rsidRPr="0046078E">
        <w:rPr>
          <w:rFonts w:ascii="Times New Roman" w:hAnsi="Times New Roman"/>
          <w:spacing w:val="-2"/>
          <w:sz w:val="21"/>
          <w:szCs w:val="21"/>
        </w:rPr>
        <w:t>in §</w:t>
      </w:r>
      <w:r w:rsidR="00465A88">
        <w:rPr>
          <w:rFonts w:ascii="Times New Roman" w:hAnsi="Times New Roman"/>
          <w:spacing w:val="-2"/>
          <w:sz w:val="21"/>
          <w:szCs w:val="21"/>
        </w:rPr>
        <w:t> </w:t>
      </w:r>
      <w:r w:rsidRPr="0046078E">
        <w:rPr>
          <w:rFonts w:ascii="Times New Roman" w:hAnsi="Times New Roman"/>
          <w:spacing w:val="-2"/>
          <w:sz w:val="21"/>
          <w:szCs w:val="21"/>
        </w:rPr>
        <w:t xml:space="preserve">395 </w:t>
      </w:r>
      <w:r w:rsidR="00E661BE">
        <w:rPr>
          <w:rFonts w:ascii="Times New Roman" w:hAnsi="Times New Roman"/>
          <w:spacing w:val="-2"/>
          <w:sz w:val="21"/>
          <w:szCs w:val="21"/>
        </w:rPr>
        <w:t>I</w:t>
      </w:r>
      <w:r w:rsidRPr="0046078E">
        <w:rPr>
          <w:rFonts w:ascii="Times New Roman" w:hAnsi="Times New Roman"/>
          <w:spacing w:val="-2"/>
          <w:sz w:val="21"/>
          <w:szCs w:val="21"/>
        </w:rPr>
        <w:t xml:space="preserve"> </w:t>
      </w:r>
      <w:r w:rsidR="00E03749">
        <w:rPr>
          <w:rFonts w:ascii="Times New Roman" w:hAnsi="Times New Roman"/>
          <w:spacing w:val="-2"/>
          <w:sz w:val="21"/>
          <w:szCs w:val="21"/>
        </w:rPr>
        <w:t xml:space="preserve">StPO </w:t>
      </w:r>
      <w:r w:rsidRPr="0046078E">
        <w:rPr>
          <w:rFonts w:ascii="Times New Roman" w:hAnsi="Times New Roman"/>
          <w:spacing w:val="-2"/>
          <w:sz w:val="21"/>
          <w:szCs w:val="21"/>
        </w:rPr>
        <w:t>genannten schwerwiegenden Strafta</w:t>
      </w:r>
      <w:r w:rsidR="004B3699">
        <w:rPr>
          <w:rFonts w:ascii="Times New Roman" w:hAnsi="Times New Roman"/>
          <w:spacing w:val="-2"/>
          <w:sz w:val="21"/>
          <w:szCs w:val="21"/>
        </w:rPr>
        <w:t>t</w:t>
      </w:r>
      <w:r w:rsidR="00B61571">
        <w:rPr>
          <w:rFonts w:ascii="Times New Roman" w:hAnsi="Times New Roman"/>
          <w:spacing w:val="-2"/>
          <w:sz w:val="21"/>
          <w:szCs w:val="21"/>
        </w:rPr>
        <w:t>en</w:t>
      </w:r>
    </w:p>
    <w:p w14:paraId="4820C126" w14:textId="17E421C9" w:rsidR="004B3699" w:rsidRDefault="004B3699" w:rsidP="00E16268">
      <w:pPr>
        <w:widowControl/>
        <w:tabs>
          <w:tab w:val="left" w:pos="-720"/>
          <w:tab w:val="left" w:pos="567"/>
          <w:tab w:val="left" w:pos="864"/>
          <w:tab w:val="left" w:pos="1116"/>
          <w:tab w:val="left" w:pos="1404"/>
          <w:tab w:val="left" w:pos="1692"/>
          <w:tab w:val="left" w:pos="1980"/>
          <w:tab w:val="left" w:pos="2268"/>
          <w:tab w:val="left" w:pos="2880"/>
        </w:tabs>
        <w:spacing w:line="228" w:lineRule="auto"/>
        <w:jc w:val="both"/>
        <w:rPr>
          <w:rFonts w:ascii="Times New Roman" w:hAnsi="Times New Roman" w:cs="Times New Roman"/>
          <w:spacing w:val="-2"/>
          <w:sz w:val="21"/>
          <w:szCs w:val="21"/>
        </w:rPr>
      </w:pPr>
      <w:r>
        <w:rPr>
          <w:rFonts w:ascii="Times New Roman" w:hAnsi="Times New Roman"/>
          <w:spacing w:val="-2"/>
          <w:sz w:val="21"/>
          <w:szCs w:val="21"/>
        </w:rPr>
        <w:tab/>
      </w:r>
      <w:r w:rsidRPr="0046078E">
        <w:rPr>
          <w:rFonts w:ascii="Times New Roman" w:hAnsi="Times New Roman" w:cs="Times New Roman"/>
          <w:spacing w:val="-2"/>
          <w:sz w:val="21"/>
          <w:szCs w:val="21"/>
        </w:rPr>
        <w:t>–</w:t>
      </w:r>
      <w:r>
        <w:rPr>
          <w:rFonts w:ascii="Times New Roman" w:hAnsi="Times New Roman" w:cs="Times New Roman"/>
          <w:spacing w:val="-2"/>
          <w:sz w:val="21"/>
          <w:szCs w:val="21"/>
        </w:rPr>
        <w:tab/>
        <w:t>die in §</w:t>
      </w:r>
      <w:r w:rsidR="00465A88">
        <w:rPr>
          <w:rFonts w:ascii="Times New Roman" w:hAnsi="Times New Roman" w:cs="Times New Roman"/>
          <w:spacing w:val="-2"/>
          <w:sz w:val="21"/>
          <w:szCs w:val="21"/>
        </w:rPr>
        <w:t> </w:t>
      </w:r>
      <w:r>
        <w:rPr>
          <w:rFonts w:ascii="Times New Roman" w:hAnsi="Times New Roman" w:cs="Times New Roman"/>
          <w:spacing w:val="-2"/>
          <w:sz w:val="21"/>
          <w:szCs w:val="21"/>
        </w:rPr>
        <w:t xml:space="preserve">395 </w:t>
      </w:r>
      <w:r w:rsidR="00E661BE">
        <w:rPr>
          <w:rFonts w:ascii="Times New Roman" w:hAnsi="Times New Roman" w:cs="Times New Roman"/>
          <w:spacing w:val="-2"/>
          <w:sz w:val="21"/>
          <w:szCs w:val="21"/>
        </w:rPr>
        <w:t>II</w:t>
      </w:r>
      <w:r>
        <w:rPr>
          <w:rFonts w:ascii="Times New Roman" w:hAnsi="Times New Roman" w:cs="Times New Roman"/>
          <w:spacing w:val="-2"/>
          <w:sz w:val="21"/>
          <w:szCs w:val="21"/>
        </w:rPr>
        <w:t xml:space="preserve"> Nr.</w:t>
      </w:r>
      <w:r w:rsidR="00465A88">
        <w:rPr>
          <w:rFonts w:ascii="Times New Roman" w:hAnsi="Times New Roman" w:cs="Times New Roman"/>
          <w:spacing w:val="-2"/>
          <w:sz w:val="21"/>
          <w:szCs w:val="21"/>
        </w:rPr>
        <w:t> </w:t>
      </w:r>
      <w:r>
        <w:rPr>
          <w:rFonts w:ascii="Times New Roman" w:hAnsi="Times New Roman" w:cs="Times New Roman"/>
          <w:spacing w:val="-2"/>
          <w:sz w:val="21"/>
          <w:szCs w:val="21"/>
        </w:rPr>
        <w:t xml:space="preserve">1 </w:t>
      </w:r>
      <w:r w:rsidR="00E03749">
        <w:rPr>
          <w:rFonts w:ascii="Times New Roman" w:hAnsi="Times New Roman"/>
          <w:spacing w:val="-2"/>
          <w:sz w:val="21"/>
          <w:szCs w:val="21"/>
        </w:rPr>
        <w:t xml:space="preserve">StPO </w:t>
      </w:r>
      <w:r>
        <w:rPr>
          <w:rFonts w:ascii="Times New Roman" w:hAnsi="Times New Roman" w:cs="Times New Roman"/>
          <w:spacing w:val="-2"/>
          <w:sz w:val="21"/>
          <w:szCs w:val="21"/>
        </w:rPr>
        <w:t>abschließend aufgezählten Angehörigen eines getöteten Opfers</w:t>
      </w:r>
    </w:p>
    <w:p w14:paraId="2B9EAFB0" w14:textId="2354E14D" w:rsidR="00E03749" w:rsidRDefault="004B3699" w:rsidP="00E16268">
      <w:pPr>
        <w:widowControl/>
        <w:tabs>
          <w:tab w:val="left" w:pos="-720"/>
          <w:tab w:val="left" w:pos="567"/>
          <w:tab w:val="left" w:pos="864"/>
          <w:tab w:val="left" w:pos="1116"/>
          <w:tab w:val="left" w:pos="1404"/>
          <w:tab w:val="left" w:pos="1692"/>
          <w:tab w:val="left" w:pos="1980"/>
          <w:tab w:val="left" w:pos="2268"/>
          <w:tab w:val="left" w:pos="2880"/>
        </w:tabs>
        <w:spacing w:line="228" w:lineRule="auto"/>
        <w:ind w:left="860" w:hanging="860"/>
        <w:jc w:val="both"/>
        <w:rPr>
          <w:rFonts w:ascii="Times New Roman" w:hAnsi="Times New Roman"/>
          <w:spacing w:val="-2"/>
          <w:sz w:val="21"/>
          <w:szCs w:val="21"/>
        </w:rPr>
      </w:pPr>
      <w:r>
        <w:rPr>
          <w:rFonts w:ascii="Times New Roman" w:hAnsi="Times New Roman" w:cs="Times New Roman"/>
          <w:spacing w:val="-2"/>
          <w:sz w:val="21"/>
          <w:szCs w:val="21"/>
        </w:rPr>
        <w:tab/>
      </w:r>
      <w:r w:rsidRPr="0046078E">
        <w:rPr>
          <w:rFonts w:ascii="Times New Roman" w:hAnsi="Times New Roman" w:cs="Times New Roman"/>
          <w:spacing w:val="-2"/>
          <w:sz w:val="21"/>
          <w:szCs w:val="21"/>
        </w:rPr>
        <w:t>–</w:t>
      </w:r>
      <w:r>
        <w:rPr>
          <w:rFonts w:ascii="Times New Roman" w:hAnsi="Times New Roman" w:cs="Times New Roman"/>
          <w:spacing w:val="-2"/>
          <w:sz w:val="21"/>
          <w:szCs w:val="21"/>
        </w:rPr>
        <w:tab/>
        <w:t>gemäß §</w:t>
      </w:r>
      <w:r w:rsidR="00465A88">
        <w:rPr>
          <w:rFonts w:ascii="Times New Roman" w:hAnsi="Times New Roman" w:cs="Times New Roman"/>
          <w:spacing w:val="-2"/>
          <w:sz w:val="21"/>
          <w:szCs w:val="21"/>
        </w:rPr>
        <w:t> </w:t>
      </w:r>
      <w:r>
        <w:rPr>
          <w:rFonts w:ascii="Times New Roman" w:hAnsi="Times New Roman" w:cs="Times New Roman"/>
          <w:spacing w:val="-2"/>
          <w:sz w:val="21"/>
          <w:szCs w:val="21"/>
        </w:rPr>
        <w:t xml:space="preserve">395 </w:t>
      </w:r>
      <w:r w:rsidR="00E661BE">
        <w:rPr>
          <w:rFonts w:ascii="Times New Roman" w:hAnsi="Times New Roman" w:cs="Times New Roman"/>
          <w:spacing w:val="-2"/>
          <w:sz w:val="21"/>
          <w:szCs w:val="21"/>
        </w:rPr>
        <w:t>II</w:t>
      </w:r>
      <w:r>
        <w:rPr>
          <w:rFonts w:ascii="Times New Roman" w:hAnsi="Times New Roman" w:cs="Times New Roman"/>
          <w:spacing w:val="-2"/>
          <w:sz w:val="21"/>
          <w:szCs w:val="21"/>
        </w:rPr>
        <w:t xml:space="preserve"> Nr.</w:t>
      </w:r>
      <w:r w:rsidR="00465A88">
        <w:rPr>
          <w:rFonts w:ascii="Times New Roman" w:hAnsi="Times New Roman" w:cs="Times New Roman"/>
          <w:spacing w:val="-2"/>
          <w:sz w:val="21"/>
          <w:szCs w:val="21"/>
        </w:rPr>
        <w:t> </w:t>
      </w:r>
      <w:r>
        <w:rPr>
          <w:rFonts w:ascii="Times New Roman" w:hAnsi="Times New Roman" w:cs="Times New Roman"/>
          <w:spacing w:val="-2"/>
          <w:sz w:val="21"/>
          <w:szCs w:val="21"/>
        </w:rPr>
        <w:t xml:space="preserve">2 </w:t>
      </w:r>
      <w:r w:rsidR="00E03749">
        <w:rPr>
          <w:rFonts w:ascii="Times New Roman" w:hAnsi="Times New Roman"/>
          <w:spacing w:val="-2"/>
          <w:sz w:val="21"/>
          <w:szCs w:val="21"/>
        </w:rPr>
        <w:t xml:space="preserve">StPO </w:t>
      </w:r>
      <w:r>
        <w:rPr>
          <w:rFonts w:ascii="Times New Roman" w:hAnsi="Times New Roman" w:cs="Times New Roman"/>
          <w:spacing w:val="-2"/>
          <w:sz w:val="21"/>
          <w:szCs w:val="21"/>
        </w:rPr>
        <w:t>der erfolgreiche Antragsteller eines Klageerzwingungsverfahrens (vgl. dazu Arbeitsblatt Nr. 35)</w:t>
      </w:r>
    </w:p>
    <w:p w14:paraId="41DEA926" w14:textId="62B4AE38" w:rsidR="00E03749" w:rsidRPr="00465A88" w:rsidRDefault="00E03749" w:rsidP="00040FEA">
      <w:pPr>
        <w:widowControl/>
        <w:numPr>
          <w:ilvl w:val="0"/>
          <w:numId w:val="4"/>
        </w:numPr>
        <w:tabs>
          <w:tab w:val="left" w:pos="-720"/>
          <w:tab w:val="left" w:pos="567"/>
          <w:tab w:val="left" w:pos="864"/>
          <w:tab w:val="left" w:pos="993"/>
          <w:tab w:val="left" w:pos="1404"/>
          <w:tab w:val="left" w:pos="1692"/>
          <w:tab w:val="left" w:pos="1980"/>
          <w:tab w:val="left" w:pos="2268"/>
          <w:tab w:val="left" w:pos="2880"/>
        </w:tabs>
        <w:spacing w:line="228" w:lineRule="auto"/>
        <w:jc w:val="both"/>
        <w:rPr>
          <w:rFonts w:ascii="Times New Roman" w:hAnsi="Times New Roman"/>
          <w:spacing w:val="-2"/>
          <w:sz w:val="21"/>
          <w:szCs w:val="21"/>
        </w:rPr>
      </w:pPr>
      <w:r>
        <w:rPr>
          <w:rFonts w:ascii="Times New Roman" w:hAnsi="Times New Roman" w:cs="Times New Roman"/>
          <w:spacing w:val="-2"/>
          <w:sz w:val="21"/>
          <w:szCs w:val="21"/>
        </w:rPr>
        <w:t>gemäß §</w:t>
      </w:r>
      <w:r w:rsidR="00465A88">
        <w:rPr>
          <w:rFonts w:ascii="Times New Roman" w:hAnsi="Times New Roman" w:cs="Times New Roman"/>
          <w:spacing w:val="-2"/>
          <w:sz w:val="21"/>
          <w:szCs w:val="21"/>
        </w:rPr>
        <w:t> </w:t>
      </w:r>
      <w:r>
        <w:rPr>
          <w:rFonts w:ascii="Times New Roman" w:hAnsi="Times New Roman" w:cs="Times New Roman"/>
          <w:spacing w:val="-2"/>
          <w:sz w:val="21"/>
          <w:szCs w:val="21"/>
        </w:rPr>
        <w:t xml:space="preserve">395 </w:t>
      </w:r>
      <w:r w:rsidR="00E661BE">
        <w:rPr>
          <w:rFonts w:ascii="Times New Roman" w:hAnsi="Times New Roman" w:cs="Times New Roman"/>
          <w:spacing w:val="-2"/>
          <w:sz w:val="21"/>
          <w:szCs w:val="21"/>
        </w:rPr>
        <w:t>III</w:t>
      </w:r>
      <w:r>
        <w:rPr>
          <w:rFonts w:ascii="Times New Roman" w:hAnsi="Times New Roman" w:cs="Times New Roman"/>
          <w:spacing w:val="-2"/>
          <w:sz w:val="21"/>
          <w:szCs w:val="21"/>
        </w:rPr>
        <w:t xml:space="preserve"> </w:t>
      </w:r>
      <w:r>
        <w:rPr>
          <w:rFonts w:ascii="Times New Roman" w:hAnsi="Times New Roman"/>
          <w:spacing w:val="-2"/>
          <w:sz w:val="21"/>
          <w:szCs w:val="21"/>
        </w:rPr>
        <w:t xml:space="preserve">StPO </w:t>
      </w:r>
      <w:r>
        <w:rPr>
          <w:rFonts w:ascii="Times New Roman" w:hAnsi="Times New Roman" w:cs="Times New Roman"/>
          <w:spacing w:val="-2"/>
          <w:sz w:val="21"/>
          <w:szCs w:val="21"/>
        </w:rPr>
        <w:t>die Verletzten einer rechtswidrigen Tat, wenn dies aus besonderen Gründen,</w:t>
      </w:r>
      <w:r w:rsidR="00465A88">
        <w:rPr>
          <w:rFonts w:ascii="Times New Roman" w:hAnsi="Times New Roman" w:cs="Times New Roman"/>
          <w:spacing w:val="-2"/>
          <w:sz w:val="21"/>
          <w:szCs w:val="21"/>
        </w:rPr>
        <w:t xml:space="preserve"> </w:t>
      </w:r>
      <w:r w:rsidRPr="00465A88">
        <w:rPr>
          <w:rFonts w:ascii="Times New Roman" w:hAnsi="Times New Roman" w:cs="Times New Roman"/>
          <w:spacing w:val="-2"/>
          <w:sz w:val="21"/>
          <w:szCs w:val="21"/>
        </w:rPr>
        <w:t>insbesondere wegen der schweren Folgen der Tat, zur Wahrnehmung ihrer Interessen geboten erscheint</w:t>
      </w:r>
    </w:p>
    <w:p w14:paraId="160BE1E3" w14:textId="77777777" w:rsidR="007F2A4C" w:rsidRPr="0046078E" w:rsidRDefault="007F2A4C" w:rsidP="00E16268">
      <w:pPr>
        <w:widowControl/>
        <w:tabs>
          <w:tab w:val="left" w:pos="-720"/>
          <w:tab w:val="left" w:pos="567"/>
          <w:tab w:val="left" w:pos="864"/>
          <w:tab w:val="left" w:pos="1116"/>
          <w:tab w:val="left" w:pos="1404"/>
          <w:tab w:val="left" w:pos="1692"/>
          <w:tab w:val="left" w:pos="1980"/>
          <w:tab w:val="left" w:pos="2268"/>
          <w:tab w:val="left" w:pos="2880"/>
        </w:tabs>
        <w:spacing w:line="228" w:lineRule="auto"/>
        <w:ind w:left="860" w:hanging="576"/>
        <w:jc w:val="both"/>
        <w:rPr>
          <w:rFonts w:ascii="Times New Roman" w:hAnsi="Times New Roman"/>
          <w:spacing w:val="-2"/>
          <w:sz w:val="21"/>
          <w:szCs w:val="21"/>
          <w:u w:val="single"/>
        </w:rPr>
      </w:pPr>
      <w:r w:rsidRPr="0046078E">
        <w:rPr>
          <w:rFonts w:ascii="Times New Roman" w:hAnsi="Times New Roman"/>
          <w:spacing w:val="-2"/>
          <w:sz w:val="21"/>
          <w:szCs w:val="21"/>
          <w:u w:val="single"/>
        </w:rPr>
        <w:t xml:space="preserve">2. </w:t>
      </w:r>
      <w:r w:rsidRPr="0046078E">
        <w:rPr>
          <w:rFonts w:ascii="Times New Roman" w:hAnsi="Times New Roman"/>
          <w:spacing w:val="-2"/>
          <w:sz w:val="21"/>
          <w:szCs w:val="21"/>
          <w:u w:val="single"/>
        </w:rPr>
        <w:tab/>
        <w:t>Anschlusserklärung:</w:t>
      </w:r>
    </w:p>
    <w:p w14:paraId="60E58C17" w14:textId="488C9440" w:rsidR="007F2A4C" w:rsidRPr="0046078E" w:rsidRDefault="007F2A4C" w:rsidP="00E16268">
      <w:pPr>
        <w:widowControl/>
        <w:tabs>
          <w:tab w:val="left" w:pos="-720"/>
          <w:tab w:val="left" w:pos="284"/>
          <w:tab w:val="left" w:pos="567"/>
          <w:tab w:val="left" w:pos="1116"/>
          <w:tab w:val="left" w:pos="1404"/>
          <w:tab w:val="left" w:pos="1692"/>
          <w:tab w:val="left" w:pos="1980"/>
          <w:tab w:val="left" w:pos="2268"/>
          <w:tab w:val="left" w:pos="2880"/>
        </w:tabs>
        <w:spacing w:line="228" w:lineRule="auto"/>
        <w:ind w:left="864" w:hanging="864"/>
        <w:jc w:val="both"/>
        <w:rPr>
          <w:rFonts w:ascii="Times New Roman" w:hAnsi="Times New Roman"/>
          <w:spacing w:val="-2"/>
          <w:sz w:val="21"/>
          <w:szCs w:val="21"/>
        </w:rPr>
      </w:pPr>
      <w:r w:rsidRPr="0046078E">
        <w:rPr>
          <w:rFonts w:ascii="Times New Roman" w:hAnsi="Times New Roman"/>
          <w:spacing w:val="-2"/>
          <w:sz w:val="21"/>
          <w:szCs w:val="21"/>
        </w:rPr>
        <w:tab/>
      </w:r>
      <w:r w:rsidRPr="0046078E">
        <w:rPr>
          <w:rFonts w:ascii="Times New Roman" w:hAnsi="Times New Roman"/>
          <w:spacing w:val="-2"/>
          <w:sz w:val="21"/>
          <w:szCs w:val="21"/>
        </w:rPr>
        <w:tab/>
      </w:r>
      <w:r w:rsidRPr="0046078E">
        <w:rPr>
          <w:rFonts w:ascii="Times New Roman" w:hAnsi="Times New Roman" w:cs="Times New Roman"/>
          <w:spacing w:val="-2"/>
          <w:sz w:val="21"/>
          <w:szCs w:val="21"/>
        </w:rPr>
        <w:t>–</w:t>
      </w:r>
      <w:r w:rsidRPr="0046078E">
        <w:rPr>
          <w:rFonts w:ascii="Times New Roman" w:hAnsi="Times New Roman"/>
          <w:spacing w:val="-2"/>
          <w:sz w:val="21"/>
          <w:szCs w:val="21"/>
        </w:rPr>
        <w:tab/>
        <w:t>in jeder Lage des Verfahrens zulässig, §</w:t>
      </w:r>
      <w:r w:rsidR="00465A88">
        <w:rPr>
          <w:rFonts w:ascii="Times New Roman" w:hAnsi="Times New Roman"/>
          <w:spacing w:val="-2"/>
          <w:sz w:val="21"/>
          <w:szCs w:val="21"/>
        </w:rPr>
        <w:t> </w:t>
      </w:r>
      <w:r w:rsidRPr="0046078E">
        <w:rPr>
          <w:rFonts w:ascii="Times New Roman" w:hAnsi="Times New Roman"/>
          <w:spacing w:val="-2"/>
          <w:sz w:val="21"/>
          <w:szCs w:val="21"/>
        </w:rPr>
        <w:t xml:space="preserve">395 </w:t>
      </w:r>
      <w:r w:rsidR="00E661BE">
        <w:rPr>
          <w:rFonts w:ascii="Times New Roman" w:hAnsi="Times New Roman"/>
          <w:spacing w:val="-2"/>
          <w:sz w:val="21"/>
          <w:szCs w:val="21"/>
        </w:rPr>
        <w:t>IV</w:t>
      </w:r>
      <w:r w:rsidRPr="0046078E">
        <w:rPr>
          <w:rFonts w:ascii="Times New Roman" w:hAnsi="Times New Roman"/>
          <w:spacing w:val="-2"/>
          <w:sz w:val="21"/>
          <w:szCs w:val="21"/>
        </w:rPr>
        <w:t xml:space="preserve"> </w:t>
      </w:r>
      <w:r w:rsidR="00465A88">
        <w:rPr>
          <w:rFonts w:ascii="Times New Roman" w:hAnsi="Times New Roman"/>
          <w:spacing w:val="-2"/>
          <w:sz w:val="21"/>
          <w:szCs w:val="21"/>
        </w:rPr>
        <w:t xml:space="preserve">1 </w:t>
      </w:r>
      <w:r w:rsidRPr="0046078E">
        <w:rPr>
          <w:rFonts w:ascii="Times New Roman" w:hAnsi="Times New Roman"/>
          <w:spacing w:val="-2"/>
          <w:sz w:val="21"/>
          <w:szCs w:val="21"/>
        </w:rPr>
        <w:t>StPO</w:t>
      </w:r>
    </w:p>
    <w:p w14:paraId="613C4B42" w14:textId="54204965" w:rsidR="007F2A4C" w:rsidRPr="0046078E" w:rsidRDefault="007F2A4C" w:rsidP="00E16268">
      <w:pPr>
        <w:widowControl/>
        <w:tabs>
          <w:tab w:val="left" w:pos="-720"/>
          <w:tab w:val="left" w:pos="284"/>
          <w:tab w:val="left" w:pos="567"/>
          <w:tab w:val="left" w:pos="1116"/>
          <w:tab w:val="left" w:pos="1404"/>
          <w:tab w:val="left" w:pos="1692"/>
          <w:tab w:val="left" w:pos="1980"/>
          <w:tab w:val="left" w:pos="2268"/>
          <w:tab w:val="left" w:pos="2880"/>
        </w:tabs>
        <w:spacing w:line="228" w:lineRule="auto"/>
        <w:ind w:left="864" w:hanging="864"/>
        <w:jc w:val="both"/>
        <w:rPr>
          <w:rFonts w:ascii="Times New Roman" w:hAnsi="Times New Roman"/>
          <w:spacing w:val="-2"/>
          <w:sz w:val="21"/>
          <w:szCs w:val="21"/>
        </w:rPr>
      </w:pPr>
      <w:r w:rsidRPr="0046078E">
        <w:rPr>
          <w:rFonts w:ascii="Times New Roman" w:hAnsi="Times New Roman"/>
          <w:spacing w:val="-2"/>
          <w:sz w:val="21"/>
          <w:szCs w:val="21"/>
        </w:rPr>
        <w:tab/>
      </w:r>
      <w:r w:rsidRPr="0046078E">
        <w:rPr>
          <w:rFonts w:ascii="Times New Roman" w:hAnsi="Times New Roman"/>
          <w:spacing w:val="-2"/>
          <w:sz w:val="21"/>
          <w:szCs w:val="21"/>
        </w:rPr>
        <w:tab/>
      </w:r>
      <w:r w:rsidRPr="0046078E">
        <w:rPr>
          <w:rFonts w:ascii="Times New Roman" w:hAnsi="Times New Roman" w:cs="Times New Roman"/>
          <w:spacing w:val="-2"/>
          <w:sz w:val="21"/>
          <w:szCs w:val="21"/>
        </w:rPr>
        <w:t>–</w:t>
      </w:r>
      <w:r w:rsidRPr="0046078E">
        <w:rPr>
          <w:rFonts w:ascii="Times New Roman" w:hAnsi="Times New Roman"/>
          <w:spacing w:val="-2"/>
          <w:sz w:val="21"/>
          <w:szCs w:val="21"/>
        </w:rPr>
        <w:tab/>
      </w:r>
      <w:r w:rsidRPr="0046078E">
        <w:rPr>
          <w:rFonts w:ascii="Times New Roman" w:hAnsi="Times New Roman"/>
          <w:b/>
          <w:spacing w:val="-2"/>
          <w:sz w:val="21"/>
          <w:szCs w:val="21"/>
        </w:rPr>
        <w:t>schriftliche</w:t>
      </w:r>
      <w:r w:rsidRPr="0046078E">
        <w:rPr>
          <w:rFonts w:ascii="Times New Roman" w:hAnsi="Times New Roman"/>
          <w:spacing w:val="-2"/>
          <w:sz w:val="21"/>
          <w:szCs w:val="21"/>
        </w:rPr>
        <w:t xml:space="preserve"> Einreichung der Anschlusserklärung, §</w:t>
      </w:r>
      <w:r w:rsidR="00465A88">
        <w:rPr>
          <w:rFonts w:ascii="Times New Roman" w:hAnsi="Times New Roman"/>
          <w:spacing w:val="-2"/>
          <w:sz w:val="21"/>
          <w:szCs w:val="21"/>
        </w:rPr>
        <w:t> </w:t>
      </w:r>
      <w:r w:rsidRPr="0046078E">
        <w:rPr>
          <w:rFonts w:ascii="Times New Roman" w:hAnsi="Times New Roman"/>
          <w:spacing w:val="-2"/>
          <w:sz w:val="21"/>
          <w:szCs w:val="21"/>
        </w:rPr>
        <w:t xml:space="preserve">396 </w:t>
      </w:r>
      <w:r w:rsidR="00E661BE">
        <w:rPr>
          <w:rFonts w:ascii="Times New Roman" w:hAnsi="Times New Roman"/>
          <w:spacing w:val="-2"/>
          <w:sz w:val="21"/>
          <w:szCs w:val="21"/>
        </w:rPr>
        <w:t>I</w:t>
      </w:r>
      <w:r w:rsidRPr="0046078E">
        <w:rPr>
          <w:rFonts w:ascii="Times New Roman" w:hAnsi="Times New Roman"/>
          <w:spacing w:val="-2"/>
          <w:sz w:val="21"/>
          <w:szCs w:val="21"/>
        </w:rPr>
        <w:t xml:space="preserve"> 1 StPO</w:t>
      </w:r>
    </w:p>
    <w:p w14:paraId="61201B4F" w14:textId="780623FF" w:rsidR="007F2A4C" w:rsidRPr="0046078E" w:rsidRDefault="007F2A4C" w:rsidP="00465A88">
      <w:pPr>
        <w:widowControl/>
        <w:tabs>
          <w:tab w:val="left" w:pos="-720"/>
          <w:tab w:val="left" w:pos="284"/>
          <w:tab w:val="left" w:pos="567"/>
          <w:tab w:val="left" w:pos="1116"/>
          <w:tab w:val="left" w:pos="1404"/>
          <w:tab w:val="left" w:pos="1692"/>
          <w:tab w:val="left" w:pos="1980"/>
          <w:tab w:val="left" w:pos="2268"/>
          <w:tab w:val="left" w:pos="2880"/>
        </w:tabs>
        <w:spacing w:line="228" w:lineRule="auto"/>
        <w:ind w:left="567" w:hanging="567"/>
        <w:jc w:val="both"/>
        <w:rPr>
          <w:rFonts w:ascii="Times New Roman" w:hAnsi="Times New Roman"/>
          <w:spacing w:val="-2"/>
          <w:sz w:val="21"/>
          <w:szCs w:val="21"/>
        </w:rPr>
      </w:pPr>
      <w:r w:rsidRPr="0046078E">
        <w:rPr>
          <w:rFonts w:ascii="Times New Roman" w:hAnsi="Times New Roman"/>
          <w:spacing w:val="-2"/>
          <w:sz w:val="21"/>
          <w:szCs w:val="21"/>
        </w:rPr>
        <w:tab/>
      </w:r>
      <w:r w:rsidRPr="0046078E">
        <w:rPr>
          <w:rFonts w:ascii="Times New Roman" w:hAnsi="Times New Roman"/>
          <w:spacing w:val="-2"/>
          <w:sz w:val="21"/>
          <w:szCs w:val="21"/>
          <w:u w:val="single"/>
        </w:rPr>
        <w:t xml:space="preserve">3. </w:t>
      </w:r>
      <w:r w:rsidRPr="0046078E">
        <w:rPr>
          <w:rFonts w:ascii="Times New Roman" w:hAnsi="Times New Roman"/>
          <w:spacing w:val="-2"/>
          <w:sz w:val="21"/>
          <w:szCs w:val="21"/>
          <w:u w:val="single"/>
        </w:rPr>
        <w:tab/>
      </w:r>
      <w:r w:rsidR="00104565">
        <w:rPr>
          <w:rFonts w:ascii="Times New Roman" w:hAnsi="Times New Roman"/>
          <w:spacing w:val="-2"/>
          <w:sz w:val="21"/>
          <w:szCs w:val="21"/>
          <w:u w:val="single"/>
        </w:rPr>
        <w:t>Entscheidung des Gerichts über Anschluss</w:t>
      </w:r>
      <w:r w:rsidRPr="0046078E">
        <w:rPr>
          <w:rFonts w:ascii="Times New Roman" w:hAnsi="Times New Roman"/>
          <w:spacing w:val="-2"/>
          <w:sz w:val="21"/>
          <w:szCs w:val="21"/>
          <w:u w:val="single"/>
        </w:rPr>
        <w:t>:</w:t>
      </w:r>
      <w:r w:rsidRPr="0046078E">
        <w:rPr>
          <w:rFonts w:ascii="Times New Roman" w:hAnsi="Times New Roman"/>
          <w:spacing w:val="-2"/>
          <w:sz w:val="21"/>
          <w:szCs w:val="21"/>
        </w:rPr>
        <w:t xml:space="preserve"> Das Gericht, bei dem das Verfahren anhängig ist (bei Anschluss durch Rechtsmitteleinlegung das Rechtsmittelgericht), prüft die </w:t>
      </w:r>
      <w:r w:rsidR="00104565">
        <w:rPr>
          <w:rFonts w:ascii="Times New Roman" w:hAnsi="Times New Roman"/>
          <w:spacing w:val="-2"/>
          <w:sz w:val="21"/>
          <w:szCs w:val="21"/>
        </w:rPr>
        <w:t>Nebenklageberechtigung</w:t>
      </w:r>
      <w:r w:rsidRPr="0046078E">
        <w:rPr>
          <w:rFonts w:ascii="Times New Roman" w:hAnsi="Times New Roman"/>
          <w:spacing w:val="-2"/>
          <w:sz w:val="21"/>
          <w:szCs w:val="21"/>
        </w:rPr>
        <w:t xml:space="preserve"> und entscheidet nach Anhörung der </w:t>
      </w:r>
      <w:proofErr w:type="spellStart"/>
      <w:r w:rsidR="00104565">
        <w:rPr>
          <w:rFonts w:ascii="Times New Roman" w:hAnsi="Times New Roman"/>
          <w:spacing w:val="-2"/>
          <w:sz w:val="21"/>
          <w:szCs w:val="21"/>
        </w:rPr>
        <w:t>StA</w:t>
      </w:r>
      <w:proofErr w:type="spellEnd"/>
      <w:r w:rsidRPr="0046078E">
        <w:rPr>
          <w:rFonts w:ascii="Times New Roman" w:hAnsi="Times New Roman"/>
          <w:spacing w:val="-2"/>
          <w:sz w:val="21"/>
          <w:szCs w:val="21"/>
        </w:rPr>
        <w:t xml:space="preserve"> durch Beschluss</w:t>
      </w:r>
      <w:r w:rsidR="00752155">
        <w:rPr>
          <w:rFonts w:ascii="Times New Roman" w:hAnsi="Times New Roman"/>
          <w:spacing w:val="-2"/>
          <w:sz w:val="21"/>
          <w:szCs w:val="21"/>
        </w:rPr>
        <w:t>, §</w:t>
      </w:r>
      <w:r w:rsidR="00465A88">
        <w:rPr>
          <w:rFonts w:ascii="Times New Roman" w:hAnsi="Times New Roman"/>
          <w:spacing w:val="-2"/>
          <w:sz w:val="21"/>
          <w:szCs w:val="21"/>
        </w:rPr>
        <w:t> </w:t>
      </w:r>
      <w:r w:rsidR="00752155">
        <w:rPr>
          <w:rFonts w:ascii="Times New Roman" w:hAnsi="Times New Roman"/>
          <w:spacing w:val="-2"/>
          <w:sz w:val="21"/>
          <w:szCs w:val="21"/>
        </w:rPr>
        <w:t xml:space="preserve">396 </w:t>
      </w:r>
      <w:r w:rsidR="00E661BE">
        <w:rPr>
          <w:rFonts w:ascii="Times New Roman" w:hAnsi="Times New Roman"/>
          <w:spacing w:val="-2"/>
          <w:sz w:val="21"/>
          <w:szCs w:val="21"/>
        </w:rPr>
        <w:t>II</w:t>
      </w:r>
      <w:r w:rsidR="00752155">
        <w:rPr>
          <w:rFonts w:ascii="Times New Roman" w:hAnsi="Times New Roman"/>
          <w:spacing w:val="-2"/>
          <w:sz w:val="21"/>
          <w:szCs w:val="21"/>
        </w:rPr>
        <w:t xml:space="preserve"> 1 StPO</w:t>
      </w:r>
      <w:r w:rsidRPr="0046078E">
        <w:rPr>
          <w:rFonts w:ascii="Times New Roman" w:hAnsi="Times New Roman"/>
          <w:spacing w:val="-2"/>
          <w:sz w:val="21"/>
          <w:szCs w:val="21"/>
        </w:rPr>
        <w:t>.</w:t>
      </w:r>
      <w:r w:rsidR="00752155">
        <w:rPr>
          <w:rFonts w:ascii="Times New Roman" w:hAnsi="Times New Roman"/>
          <w:spacing w:val="-2"/>
          <w:sz w:val="21"/>
          <w:szCs w:val="21"/>
        </w:rPr>
        <w:t xml:space="preserve"> Diesen Beschluss kann die </w:t>
      </w:r>
      <w:proofErr w:type="spellStart"/>
      <w:r w:rsidR="00752155">
        <w:rPr>
          <w:rFonts w:ascii="Times New Roman" w:hAnsi="Times New Roman"/>
          <w:spacing w:val="-2"/>
          <w:sz w:val="21"/>
          <w:szCs w:val="21"/>
        </w:rPr>
        <w:t>StA</w:t>
      </w:r>
      <w:proofErr w:type="spellEnd"/>
      <w:r w:rsidR="00752155">
        <w:rPr>
          <w:rFonts w:ascii="Times New Roman" w:hAnsi="Times New Roman"/>
          <w:spacing w:val="-2"/>
          <w:sz w:val="21"/>
          <w:szCs w:val="21"/>
        </w:rPr>
        <w:t xml:space="preserve"> mit einer Beschwerde anfechten.</w:t>
      </w:r>
      <w:r w:rsidRPr="0046078E">
        <w:rPr>
          <w:rFonts w:ascii="Times New Roman" w:hAnsi="Times New Roman"/>
          <w:spacing w:val="-2"/>
          <w:sz w:val="21"/>
          <w:szCs w:val="21"/>
        </w:rPr>
        <w:t xml:space="preserve"> </w:t>
      </w:r>
      <w:r w:rsidR="00752155">
        <w:rPr>
          <w:rFonts w:ascii="Times New Roman" w:hAnsi="Times New Roman"/>
          <w:spacing w:val="-2"/>
          <w:sz w:val="21"/>
          <w:szCs w:val="21"/>
        </w:rPr>
        <w:t>In den Fällen des §</w:t>
      </w:r>
      <w:r w:rsidR="00465A88">
        <w:rPr>
          <w:rFonts w:ascii="Times New Roman" w:hAnsi="Times New Roman"/>
          <w:spacing w:val="-2"/>
          <w:sz w:val="21"/>
          <w:szCs w:val="21"/>
        </w:rPr>
        <w:t> </w:t>
      </w:r>
      <w:r w:rsidR="00752155">
        <w:rPr>
          <w:rFonts w:ascii="Times New Roman" w:hAnsi="Times New Roman"/>
          <w:spacing w:val="-2"/>
          <w:sz w:val="21"/>
          <w:szCs w:val="21"/>
        </w:rPr>
        <w:t xml:space="preserve">395 </w:t>
      </w:r>
      <w:r w:rsidR="00E661BE">
        <w:rPr>
          <w:rFonts w:ascii="Times New Roman" w:hAnsi="Times New Roman"/>
          <w:spacing w:val="-2"/>
          <w:sz w:val="21"/>
          <w:szCs w:val="21"/>
        </w:rPr>
        <w:t>III</w:t>
      </w:r>
      <w:r w:rsidR="00752155">
        <w:rPr>
          <w:rFonts w:ascii="Times New Roman" w:hAnsi="Times New Roman"/>
          <w:spacing w:val="-2"/>
          <w:sz w:val="21"/>
          <w:szCs w:val="21"/>
        </w:rPr>
        <w:t xml:space="preserve"> StPO entscheidet das Gericht nach Anhörung auch des Angeschuldigten darüber, ob der Anschluss aus den dort genannten Gründen </w:t>
      </w:r>
      <w:r w:rsidR="00DD58BF">
        <w:rPr>
          <w:rFonts w:ascii="Times New Roman" w:hAnsi="Times New Roman"/>
          <w:spacing w:val="-2"/>
          <w:sz w:val="21"/>
          <w:szCs w:val="21"/>
        </w:rPr>
        <w:t xml:space="preserve">geboten ist, </w:t>
      </w:r>
      <w:r w:rsidR="00752155">
        <w:rPr>
          <w:rFonts w:ascii="Times New Roman" w:hAnsi="Times New Roman"/>
          <w:spacing w:val="-2"/>
          <w:sz w:val="21"/>
          <w:szCs w:val="21"/>
        </w:rPr>
        <w:t>§</w:t>
      </w:r>
      <w:r w:rsidR="00465A88">
        <w:rPr>
          <w:rFonts w:ascii="Times New Roman" w:hAnsi="Times New Roman"/>
          <w:spacing w:val="-2"/>
          <w:sz w:val="21"/>
          <w:szCs w:val="21"/>
        </w:rPr>
        <w:t> </w:t>
      </w:r>
      <w:r w:rsidR="00752155">
        <w:rPr>
          <w:rFonts w:ascii="Times New Roman" w:hAnsi="Times New Roman"/>
          <w:spacing w:val="-2"/>
          <w:sz w:val="21"/>
          <w:szCs w:val="21"/>
        </w:rPr>
        <w:t xml:space="preserve">396 </w:t>
      </w:r>
      <w:r w:rsidR="00E661BE">
        <w:rPr>
          <w:rFonts w:ascii="Times New Roman" w:hAnsi="Times New Roman"/>
          <w:spacing w:val="-2"/>
          <w:sz w:val="21"/>
          <w:szCs w:val="21"/>
        </w:rPr>
        <w:t>II</w:t>
      </w:r>
      <w:r w:rsidR="00752155">
        <w:rPr>
          <w:rFonts w:ascii="Times New Roman" w:hAnsi="Times New Roman"/>
          <w:spacing w:val="-2"/>
          <w:sz w:val="21"/>
          <w:szCs w:val="21"/>
        </w:rPr>
        <w:t xml:space="preserve"> 2 StPO. Die</w:t>
      </w:r>
      <w:r w:rsidR="00DD58BF">
        <w:rPr>
          <w:rFonts w:ascii="Times New Roman" w:hAnsi="Times New Roman"/>
          <w:spacing w:val="-2"/>
          <w:sz w:val="21"/>
          <w:szCs w:val="21"/>
        </w:rPr>
        <w:t>se</w:t>
      </w:r>
      <w:r w:rsidR="00752155">
        <w:rPr>
          <w:rFonts w:ascii="Times New Roman" w:hAnsi="Times New Roman"/>
          <w:spacing w:val="-2"/>
          <w:sz w:val="21"/>
          <w:szCs w:val="21"/>
        </w:rPr>
        <w:t xml:space="preserve"> Entscheidung </w:t>
      </w:r>
      <w:r w:rsidR="00DD58BF">
        <w:rPr>
          <w:rFonts w:ascii="Times New Roman" w:hAnsi="Times New Roman"/>
          <w:spacing w:val="-2"/>
          <w:sz w:val="21"/>
          <w:szCs w:val="21"/>
        </w:rPr>
        <w:t>ist dagegen nicht anfechtbar.</w:t>
      </w:r>
    </w:p>
    <w:p w14:paraId="27C49AF7" w14:textId="77777777" w:rsidR="007F2A4C" w:rsidRPr="0046078E" w:rsidRDefault="007F2A4C" w:rsidP="00E16268">
      <w:pPr>
        <w:widowControl/>
        <w:tabs>
          <w:tab w:val="left" w:pos="-720"/>
          <w:tab w:val="left" w:pos="288"/>
          <w:tab w:val="left" w:pos="567"/>
          <w:tab w:val="left" w:pos="864"/>
          <w:tab w:val="left" w:pos="1116"/>
          <w:tab w:val="left" w:pos="1404"/>
          <w:tab w:val="left" w:pos="1692"/>
          <w:tab w:val="left" w:pos="1980"/>
          <w:tab w:val="left" w:pos="2268"/>
          <w:tab w:val="left" w:pos="2880"/>
        </w:tabs>
        <w:spacing w:before="120" w:line="228" w:lineRule="auto"/>
        <w:ind w:left="567" w:hanging="567"/>
        <w:jc w:val="both"/>
        <w:rPr>
          <w:rFonts w:ascii="Times New Roman" w:hAnsi="Times New Roman"/>
          <w:spacing w:val="-2"/>
          <w:sz w:val="21"/>
          <w:szCs w:val="21"/>
        </w:rPr>
      </w:pPr>
      <w:r w:rsidRPr="0046078E">
        <w:rPr>
          <w:rFonts w:ascii="Times New Roman" w:hAnsi="Times New Roman"/>
          <w:b/>
          <w:spacing w:val="-2"/>
          <w:sz w:val="21"/>
          <w:szCs w:val="21"/>
        </w:rPr>
        <w:t>IV. Wesentliche Rechte des Nebenklägers:</w:t>
      </w:r>
    </w:p>
    <w:p w14:paraId="3C79B379" w14:textId="77777777" w:rsidR="007F2A4C" w:rsidRPr="0046078E" w:rsidRDefault="007F2A4C" w:rsidP="00E16268">
      <w:pPr>
        <w:widowControl/>
        <w:tabs>
          <w:tab w:val="left" w:pos="-720"/>
          <w:tab w:val="left" w:pos="288"/>
          <w:tab w:val="left" w:pos="567"/>
          <w:tab w:val="left" w:pos="864"/>
          <w:tab w:val="left" w:pos="1116"/>
          <w:tab w:val="left" w:pos="1404"/>
          <w:tab w:val="left" w:pos="1692"/>
          <w:tab w:val="left" w:pos="1980"/>
          <w:tab w:val="left" w:pos="2268"/>
          <w:tab w:val="left" w:pos="2880"/>
        </w:tabs>
        <w:spacing w:line="228" w:lineRule="auto"/>
        <w:ind w:left="567" w:hanging="567"/>
        <w:jc w:val="both"/>
        <w:rPr>
          <w:rFonts w:ascii="Times New Roman" w:hAnsi="Times New Roman" w:cs="Times New Roman"/>
          <w:spacing w:val="-2"/>
          <w:sz w:val="21"/>
          <w:szCs w:val="21"/>
        </w:rPr>
      </w:pPr>
      <w:r w:rsidRPr="0046078E">
        <w:rPr>
          <w:rFonts w:ascii="Times New Roman" w:hAnsi="Times New Roman" w:cs="Times New Roman"/>
          <w:spacing w:val="-2"/>
          <w:sz w:val="21"/>
          <w:szCs w:val="21"/>
        </w:rPr>
        <w:tab/>
        <w:t>–</w:t>
      </w:r>
      <w:r w:rsidRPr="0046078E">
        <w:rPr>
          <w:rFonts w:ascii="Times New Roman" w:hAnsi="Times New Roman" w:cs="Times New Roman"/>
          <w:spacing w:val="-2"/>
          <w:sz w:val="21"/>
          <w:szCs w:val="21"/>
        </w:rPr>
        <w:tab/>
        <w:t>Befugnis, an der Hauptverhandlung teilzunehmen, auch wenn Nebenkläger als</w:t>
      </w:r>
      <w:r>
        <w:rPr>
          <w:rFonts w:ascii="Times New Roman" w:hAnsi="Times New Roman" w:cs="Times New Roman"/>
          <w:spacing w:val="-2"/>
          <w:sz w:val="21"/>
          <w:szCs w:val="21"/>
        </w:rPr>
        <w:t xml:space="preserve"> Zeuge vernommen werden </w:t>
      </w:r>
      <w:proofErr w:type="gramStart"/>
      <w:r>
        <w:rPr>
          <w:rFonts w:ascii="Times New Roman" w:hAnsi="Times New Roman" w:cs="Times New Roman"/>
          <w:spacing w:val="-2"/>
          <w:sz w:val="21"/>
          <w:szCs w:val="21"/>
        </w:rPr>
        <w:t>soll</w:t>
      </w:r>
      <w:proofErr w:type="gramEnd"/>
      <w:r>
        <w:rPr>
          <w:rFonts w:ascii="Times New Roman" w:hAnsi="Times New Roman" w:cs="Times New Roman"/>
          <w:spacing w:val="-2"/>
          <w:sz w:val="21"/>
          <w:szCs w:val="21"/>
        </w:rPr>
        <w:t>, § </w:t>
      </w:r>
      <w:r w:rsidRPr="0046078E">
        <w:rPr>
          <w:rFonts w:ascii="Times New Roman" w:hAnsi="Times New Roman" w:cs="Times New Roman"/>
          <w:spacing w:val="-2"/>
          <w:sz w:val="21"/>
          <w:szCs w:val="21"/>
        </w:rPr>
        <w:t xml:space="preserve">397 </w:t>
      </w:r>
      <w:r w:rsidR="00E661BE">
        <w:rPr>
          <w:rFonts w:ascii="Times New Roman" w:hAnsi="Times New Roman" w:cs="Times New Roman"/>
          <w:spacing w:val="-2"/>
          <w:sz w:val="21"/>
          <w:szCs w:val="21"/>
        </w:rPr>
        <w:t>I</w:t>
      </w:r>
      <w:r w:rsidRPr="0046078E">
        <w:rPr>
          <w:rFonts w:ascii="Times New Roman" w:hAnsi="Times New Roman" w:cs="Times New Roman"/>
          <w:spacing w:val="-2"/>
          <w:sz w:val="21"/>
          <w:szCs w:val="21"/>
        </w:rPr>
        <w:t xml:space="preserve"> 1 StPO</w:t>
      </w:r>
    </w:p>
    <w:p w14:paraId="23E6F636" w14:textId="77777777" w:rsidR="007F2A4C" w:rsidRPr="0046078E" w:rsidRDefault="007F2A4C" w:rsidP="00E16268">
      <w:pPr>
        <w:widowControl/>
        <w:tabs>
          <w:tab w:val="left" w:pos="-720"/>
          <w:tab w:val="left" w:pos="288"/>
          <w:tab w:val="left" w:pos="567"/>
          <w:tab w:val="left" w:pos="864"/>
          <w:tab w:val="left" w:pos="1116"/>
          <w:tab w:val="left" w:pos="1404"/>
          <w:tab w:val="left" w:pos="1692"/>
          <w:tab w:val="left" w:pos="1980"/>
          <w:tab w:val="left" w:pos="2268"/>
          <w:tab w:val="left" w:pos="2880"/>
        </w:tabs>
        <w:spacing w:line="228" w:lineRule="auto"/>
        <w:ind w:left="567" w:hanging="567"/>
        <w:jc w:val="both"/>
        <w:rPr>
          <w:rFonts w:ascii="Times New Roman" w:hAnsi="Times New Roman" w:cs="Times New Roman"/>
          <w:spacing w:val="-2"/>
          <w:sz w:val="21"/>
          <w:szCs w:val="21"/>
        </w:rPr>
      </w:pPr>
      <w:r w:rsidRPr="0046078E">
        <w:rPr>
          <w:rFonts w:ascii="Times New Roman" w:hAnsi="Times New Roman" w:cs="Times New Roman"/>
          <w:spacing w:val="-2"/>
          <w:sz w:val="21"/>
          <w:szCs w:val="21"/>
        </w:rPr>
        <w:tab/>
        <w:t>–</w:t>
      </w:r>
      <w:r w:rsidRPr="0046078E">
        <w:rPr>
          <w:rFonts w:ascii="Times New Roman" w:hAnsi="Times New Roman" w:cs="Times New Roman"/>
          <w:spacing w:val="-2"/>
          <w:sz w:val="21"/>
          <w:szCs w:val="21"/>
        </w:rPr>
        <w:tab/>
        <w:t xml:space="preserve">Möglichkeit, in Beistand eines Rechtsanwalts zu erscheinen oder sich durch einen Rechtsanwalt vertreten zu lassen, § 397 </w:t>
      </w:r>
      <w:r w:rsidR="00E661BE">
        <w:rPr>
          <w:rFonts w:ascii="Times New Roman" w:hAnsi="Times New Roman" w:cs="Times New Roman"/>
          <w:spacing w:val="-2"/>
          <w:sz w:val="21"/>
          <w:szCs w:val="21"/>
        </w:rPr>
        <w:t>II</w:t>
      </w:r>
      <w:r w:rsidRPr="0046078E">
        <w:rPr>
          <w:rFonts w:ascii="Times New Roman" w:hAnsi="Times New Roman" w:cs="Times New Roman"/>
          <w:spacing w:val="-2"/>
          <w:sz w:val="21"/>
          <w:szCs w:val="21"/>
        </w:rPr>
        <w:t xml:space="preserve"> </w:t>
      </w:r>
      <w:r w:rsidR="00AA6548">
        <w:rPr>
          <w:rFonts w:ascii="Times New Roman" w:hAnsi="Times New Roman" w:cs="Times New Roman"/>
          <w:spacing w:val="-2"/>
          <w:sz w:val="21"/>
          <w:szCs w:val="21"/>
        </w:rPr>
        <w:t>1 StPO</w:t>
      </w:r>
    </w:p>
    <w:p w14:paraId="6E803381" w14:textId="1E9FE48D" w:rsidR="007F2A4C" w:rsidRPr="0046078E" w:rsidRDefault="007F2A4C" w:rsidP="00E16268">
      <w:pPr>
        <w:widowControl/>
        <w:tabs>
          <w:tab w:val="left" w:pos="-720"/>
          <w:tab w:val="left" w:pos="288"/>
          <w:tab w:val="left" w:pos="567"/>
          <w:tab w:val="left" w:pos="864"/>
          <w:tab w:val="left" w:pos="1116"/>
          <w:tab w:val="left" w:pos="1404"/>
          <w:tab w:val="left" w:pos="1692"/>
          <w:tab w:val="left" w:pos="1980"/>
          <w:tab w:val="left" w:pos="2268"/>
          <w:tab w:val="left" w:pos="2880"/>
        </w:tabs>
        <w:spacing w:line="228" w:lineRule="auto"/>
        <w:ind w:left="567" w:hanging="567"/>
        <w:jc w:val="both"/>
        <w:rPr>
          <w:rFonts w:ascii="Times New Roman" w:hAnsi="Times New Roman" w:cs="Times New Roman"/>
          <w:spacing w:val="-2"/>
          <w:sz w:val="21"/>
          <w:szCs w:val="21"/>
        </w:rPr>
      </w:pPr>
      <w:r w:rsidRPr="0046078E">
        <w:rPr>
          <w:rFonts w:ascii="Times New Roman" w:hAnsi="Times New Roman" w:cs="Times New Roman"/>
          <w:spacing w:val="-2"/>
          <w:sz w:val="21"/>
          <w:szCs w:val="21"/>
        </w:rPr>
        <w:tab/>
        <w:t>–</w:t>
      </w:r>
      <w:r w:rsidRPr="0046078E">
        <w:rPr>
          <w:rFonts w:ascii="Times New Roman" w:hAnsi="Times New Roman" w:cs="Times New Roman"/>
          <w:spacing w:val="-2"/>
          <w:sz w:val="21"/>
          <w:szCs w:val="21"/>
        </w:rPr>
        <w:tab/>
        <w:t>Bestellung eines Beistandes bei bestimmten schweren Delikten, §</w:t>
      </w:r>
      <w:r w:rsidR="00C26669">
        <w:rPr>
          <w:rFonts w:ascii="Times New Roman" w:hAnsi="Times New Roman" w:cs="Times New Roman"/>
          <w:spacing w:val="-2"/>
          <w:sz w:val="21"/>
          <w:szCs w:val="21"/>
        </w:rPr>
        <w:t> </w:t>
      </w:r>
      <w:r w:rsidRPr="0046078E">
        <w:rPr>
          <w:rFonts w:ascii="Times New Roman" w:hAnsi="Times New Roman" w:cs="Times New Roman"/>
          <w:spacing w:val="-2"/>
          <w:sz w:val="21"/>
          <w:szCs w:val="21"/>
        </w:rPr>
        <w:t xml:space="preserve">397a </w:t>
      </w:r>
      <w:r w:rsidR="003D1CB8">
        <w:rPr>
          <w:rFonts w:ascii="Times New Roman" w:hAnsi="Times New Roman" w:cs="Times New Roman"/>
          <w:spacing w:val="-2"/>
          <w:sz w:val="21"/>
          <w:szCs w:val="21"/>
        </w:rPr>
        <w:t>I</w:t>
      </w:r>
      <w:r w:rsidRPr="0046078E">
        <w:rPr>
          <w:rFonts w:ascii="Times New Roman" w:hAnsi="Times New Roman" w:cs="Times New Roman"/>
          <w:spacing w:val="-2"/>
          <w:sz w:val="21"/>
          <w:szCs w:val="21"/>
        </w:rPr>
        <w:t xml:space="preserve"> StPO</w:t>
      </w:r>
    </w:p>
    <w:p w14:paraId="4744DD6A" w14:textId="770FB2E3" w:rsidR="007F2A4C" w:rsidRPr="0046078E" w:rsidRDefault="007F2A4C" w:rsidP="00E16268">
      <w:pPr>
        <w:widowControl/>
        <w:tabs>
          <w:tab w:val="left" w:pos="-720"/>
          <w:tab w:val="left" w:pos="288"/>
          <w:tab w:val="left" w:pos="567"/>
          <w:tab w:val="left" w:pos="864"/>
          <w:tab w:val="left" w:pos="1116"/>
          <w:tab w:val="left" w:pos="1404"/>
          <w:tab w:val="left" w:pos="1692"/>
          <w:tab w:val="left" w:pos="1980"/>
          <w:tab w:val="left" w:pos="2268"/>
          <w:tab w:val="left" w:pos="2880"/>
        </w:tabs>
        <w:spacing w:line="228" w:lineRule="auto"/>
        <w:ind w:left="567" w:hanging="567"/>
        <w:jc w:val="both"/>
        <w:rPr>
          <w:rFonts w:ascii="Times New Roman" w:hAnsi="Times New Roman" w:cs="Times New Roman"/>
          <w:spacing w:val="-2"/>
          <w:sz w:val="21"/>
          <w:szCs w:val="21"/>
        </w:rPr>
      </w:pPr>
      <w:r w:rsidRPr="0046078E">
        <w:rPr>
          <w:rFonts w:ascii="Times New Roman" w:hAnsi="Times New Roman" w:cs="Times New Roman"/>
          <w:spacing w:val="-2"/>
          <w:sz w:val="21"/>
          <w:szCs w:val="21"/>
        </w:rPr>
        <w:tab/>
        <w:t>–</w:t>
      </w:r>
      <w:r w:rsidRPr="0046078E">
        <w:rPr>
          <w:rFonts w:ascii="Times New Roman" w:hAnsi="Times New Roman" w:cs="Times New Roman"/>
          <w:spacing w:val="-2"/>
          <w:sz w:val="21"/>
          <w:szCs w:val="21"/>
        </w:rPr>
        <w:tab/>
        <w:t>Möglichkeit, durch Abgabe von Erklärungen und Stellen von Fragen aktiv an der Verhandlung teilzunehmen, §</w:t>
      </w:r>
      <w:r>
        <w:rPr>
          <w:rFonts w:ascii="Times New Roman" w:hAnsi="Times New Roman" w:cs="Times New Roman"/>
          <w:spacing w:val="-2"/>
          <w:sz w:val="21"/>
          <w:szCs w:val="21"/>
        </w:rPr>
        <w:t> </w:t>
      </w:r>
      <w:r w:rsidRPr="0046078E">
        <w:rPr>
          <w:rFonts w:ascii="Times New Roman" w:hAnsi="Times New Roman" w:cs="Times New Roman"/>
          <w:spacing w:val="-2"/>
          <w:sz w:val="21"/>
          <w:szCs w:val="21"/>
        </w:rPr>
        <w:t xml:space="preserve">397 </w:t>
      </w:r>
      <w:r w:rsidR="00E661BE">
        <w:rPr>
          <w:rFonts w:ascii="Times New Roman" w:hAnsi="Times New Roman" w:cs="Times New Roman"/>
          <w:spacing w:val="-2"/>
          <w:sz w:val="21"/>
          <w:szCs w:val="21"/>
        </w:rPr>
        <w:t>I</w:t>
      </w:r>
      <w:r w:rsidRPr="0046078E">
        <w:rPr>
          <w:rFonts w:ascii="Times New Roman" w:hAnsi="Times New Roman" w:cs="Times New Roman"/>
          <w:spacing w:val="-2"/>
          <w:sz w:val="21"/>
          <w:szCs w:val="21"/>
        </w:rPr>
        <w:t xml:space="preserve"> 3 </w:t>
      </w:r>
      <w:proofErr w:type="spellStart"/>
      <w:r w:rsidRPr="0046078E">
        <w:rPr>
          <w:rFonts w:ascii="Times New Roman" w:hAnsi="Times New Roman" w:cs="Times New Roman"/>
          <w:spacing w:val="-2"/>
          <w:sz w:val="21"/>
          <w:szCs w:val="21"/>
        </w:rPr>
        <w:t>i.V.m</w:t>
      </w:r>
      <w:proofErr w:type="spellEnd"/>
      <w:r w:rsidRPr="0046078E">
        <w:rPr>
          <w:rFonts w:ascii="Times New Roman" w:hAnsi="Times New Roman" w:cs="Times New Roman"/>
          <w:spacing w:val="-2"/>
          <w:sz w:val="21"/>
          <w:szCs w:val="21"/>
        </w:rPr>
        <w:t>.</w:t>
      </w:r>
      <w:r w:rsidR="00E661BE">
        <w:rPr>
          <w:rFonts w:ascii="Times New Roman" w:hAnsi="Times New Roman" w:cs="Times New Roman"/>
          <w:sz w:val="21"/>
          <w:szCs w:val="21"/>
        </w:rPr>
        <w:t xml:space="preserve"> §§</w:t>
      </w:r>
      <w:r w:rsidR="00C26669">
        <w:rPr>
          <w:rFonts w:ascii="Times New Roman" w:hAnsi="Times New Roman" w:cs="Times New Roman"/>
          <w:sz w:val="21"/>
          <w:szCs w:val="21"/>
        </w:rPr>
        <w:t> </w:t>
      </w:r>
      <w:r w:rsidR="00E661BE">
        <w:rPr>
          <w:rFonts w:ascii="Times New Roman" w:hAnsi="Times New Roman" w:cs="Times New Roman"/>
          <w:sz w:val="21"/>
          <w:szCs w:val="21"/>
        </w:rPr>
        <w:t>240 II</w:t>
      </w:r>
      <w:r w:rsidRPr="0046078E">
        <w:rPr>
          <w:rFonts w:ascii="Times New Roman" w:hAnsi="Times New Roman" w:cs="Times New Roman"/>
          <w:sz w:val="21"/>
          <w:szCs w:val="21"/>
        </w:rPr>
        <w:t xml:space="preserve">, </w:t>
      </w:r>
      <w:hyperlink r:id="rId5" w:anchor="focuspoint" w:history="1">
        <w:r w:rsidRPr="0046078E">
          <w:rPr>
            <w:rStyle w:val="Hyperlink"/>
            <w:rFonts w:ascii="Times New Roman" w:hAnsi="Times New Roman" w:cs="Times New Roman"/>
            <w:color w:val="auto"/>
            <w:sz w:val="21"/>
            <w:szCs w:val="21"/>
            <w:u w:val="none"/>
          </w:rPr>
          <w:t>257</w:t>
        </w:r>
      </w:hyperlink>
      <w:r w:rsidRPr="0046078E">
        <w:rPr>
          <w:rFonts w:ascii="Times New Roman" w:hAnsi="Times New Roman" w:cs="Times New Roman"/>
          <w:sz w:val="21"/>
          <w:szCs w:val="21"/>
        </w:rPr>
        <w:t xml:space="preserve">, 258 </w:t>
      </w:r>
      <w:r w:rsidRPr="0046078E">
        <w:rPr>
          <w:rFonts w:ascii="Times New Roman" w:hAnsi="Times New Roman" w:cs="Times New Roman"/>
          <w:spacing w:val="-2"/>
          <w:sz w:val="21"/>
          <w:szCs w:val="21"/>
        </w:rPr>
        <w:t>StPO</w:t>
      </w:r>
    </w:p>
    <w:p w14:paraId="37EF0798" w14:textId="304E9B1D" w:rsidR="007F2A4C" w:rsidRPr="0046078E" w:rsidRDefault="007F2A4C" w:rsidP="00E16268">
      <w:pPr>
        <w:widowControl/>
        <w:tabs>
          <w:tab w:val="left" w:pos="-720"/>
          <w:tab w:val="left" w:pos="288"/>
          <w:tab w:val="left" w:pos="567"/>
          <w:tab w:val="left" w:pos="864"/>
          <w:tab w:val="left" w:pos="1116"/>
          <w:tab w:val="left" w:pos="1404"/>
          <w:tab w:val="left" w:pos="1692"/>
          <w:tab w:val="left" w:pos="1980"/>
          <w:tab w:val="left" w:pos="2268"/>
          <w:tab w:val="left" w:pos="2880"/>
        </w:tabs>
        <w:spacing w:line="228" w:lineRule="auto"/>
        <w:ind w:left="567" w:hanging="567"/>
        <w:jc w:val="both"/>
        <w:rPr>
          <w:rFonts w:ascii="Times New Roman" w:hAnsi="Times New Roman" w:cs="Times New Roman"/>
          <w:spacing w:val="-2"/>
          <w:sz w:val="21"/>
          <w:szCs w:val="21"/>
        </w:rPr>
      </w:pPr>
      <w:r w:rsidRPr="0046078E">
        <w:rPr>
          <w:rFonts w:ascii="Times New Roman" w:hAnsi="Times New Roman" w:cs="Times New Roman"/>
          <w:spacing w:val="-2"/>
          <w:sz w:val="21"/>
          <w:szCs w:val="21"/>
        </w:rPr>
        <w:tab/>
        <w:t>–</w:t>
      </w:r>
      <w:r w:rsidRPr="0046078E">
        <w:rPr>
          <w:rFonts w:ascii="Times New Roman" w:hAnsi="Times New Roman" w:cs="Times New Roman"/>
          <w:spacing w:val="-2"/>
          <w:sz w:val="21"/>
          <w:szCs w:val="21"/>
        </w:rPr>
        <w:tab/>
        <w:t>Recht zur Beanstandung von Anordnungen des Vorsitzenden und von Fragen, §</w:t>
      </w:r>
      <w:r w:rsidR="00C26669">
        <w:rPr>
          <w:rFonts w:ascii="Times New Roman" w:hAnsi="Times New Roman" w:cs="Times New Roman"/>
          <w:spacing w:val="-2"/>
          <w:sz w:val="21"/>
          <w:szCs w:val="21"/>
        </w:rPr>
        <w:t> </w:t>
      </w:r>
      <w:r w:rsidRPr="0046078E">
        <w:rPr>
          <w:rFonts w:ascii="Times New Roman" w:hAnsi="Times New Roman" w:cs="Times New Roman"/>
          <w:spacing w:val="-2"/>
          <w:sz w:val="21"/>
          <w:szCs w:val="21"/>
        </w:rPr>
        <w:t xml:space="preserve">397 </w:t>
      </w:r>
      <w:r w:rsidR="006B585C">
        <w:rPr>
          <w:rFonts w:ascii="Times New Roman" w:hAnsi="Times New Roman" w:cs="Times New Roman"/>
          <w:spacing w:val="-2"/>
          <w:sz w:val="21"/>
          <w:szCs w:val="21"/>
        </w:rPr>
        <w:t>I</w:t>
      </w:r>
      <w:r w:rsidRPr="0046078E">
        <w:rPr>
          <w:rFonts w:ascii="Times New Roman" w:hAnsi="Times New Roman" w:cs="Times New Roman"/>
          <w:spacing w:val="-2"/>
          <w:sz w:val="21"/>
          <w:szCs w:val="21"/>
        </w:rPr>
        <w:t xml:space="preserve"> 3 </w:t>
      </w:r>
      <w:proofErr w:type="spellStart"/>
      <w:r w:rsidRPr="0046078E">
        <w:rPr>
          <w:rFonts w:ascii="Times New Roman" w:hAnsi="Times New Roman" w:cs="Times New Roman"/>
          <w:spacing w:val="-2"/>
          <w:sz w:val="21"/>
          <w:szCs w:val="21"/>
        </w:rPr>
        <w:t>i.V.m</w:t>
      </w:r>
      <w:proofErr w:type="spellEnd"/>
      <w:r w:rsidRPr="0046078E">
        <w:rPr>
          <w:rFonts w:ascii="Times New Roman" w:hAnsi="Times New Roman" w:cs="Times New Roman"/>
          <w:spacing w:val="-2"/>
          <w:sz w:val="21"/>
          <w:szCs w:val="21"/>
        </w:rPr>
        <w:t>. §</w:t>
      </w:r>
      <w:r w:rsidR="006B585C">
        <w:rPr>
          <w:rFonts w:ascii="Times New Roman" w:hAnsi="Times New Roman" w:cs="Times New Roman"/>
          <w:spacing w:val="-2"/>
          <w:sz w:val="21"/>
          <w:szCs w:val="21"/>
        </w:rPr>
        <w:t>§ 238 II</w:t>
      </w:r>
      <w:r w:rsidRPr="0046078E">
        <w:rPr>
          <w:rFonts w:ascii="Times New Roman" w:hAnsi="Times New Roman" w:cs="Times New Roman"/>
          <w:spacing w:val="-2"/>
          <w:sz w:val="21"/>
          <w:szCs w:val="21"/>
        </w:rPr>
        <w:t>, 242 StPO</w:t>
      </w:r>
    </w:p>
    <w:p w14:paraId="6803351F" w14:textId="155AFAAD" w:rsidR="007F2A4C" w:rsidRPr="0046078E" w:rsidRDefault="007F2A4C" w:rsidP="00E16268">
      <w:pPr>
        <w:widowControl/>
        <w:tabs>
          <w:tab w:val="left" w:pos="-720"/>
          <w:tab w:val="left" w:pos="288"/>
          <w:tab w:val="left" w:pos="567"/>
          <w:tab w:val="left" w:pos="864"/>
          <w:tab w:val="left" w:pos="1116"/>
          <w:tab w:val="left" w:pos="1404"/>
          <w:tab w:val="left" w:pos="1692"/>
          <w:tab w:val="left" w:pos="1980"/>
          <w:tab w:val="left" w:pos="2268"/>
          <w:tab w:val="left" w:pos="2880"/>
        </w:tabs>
        <w:spacing w:line="228" w:lineRule="auto"/>
        <w:ind w:left="567" w:hanging="567"/>
        <w:jc w:val="both"/>
        <w:rPr>
          <w:rFonts w:ascii="Times New Roman" w:hAnsi="Times New Roman" w:cs="Times New Roman"/>
          <w:spacing w:val="-2"/>
          <w:sz w:val="21"/>
          <w:szCs w:val="21"/>
        </w:rPr>
      </w:pPr>
      <w:r w:rsidRPr="0046078E">
        <w:rPr>
          <w:rFonts w:ascii="Times New Roman" w:hAnsi="Times New Roman" w:cs="Times New Roman"/>
          <w:spacing w:val="-2"/>
          <w:sz w:val="21"/>
          <w:szCs w:val="21"/>
        </w:rPr>
        <w:tab/>
        <w:t>–</w:t>
      </w:r>
      <w:r w:rsidRPr="0046078E">
        <w:rPr>
          <w:rFonts w:ascii="Times New Roman" w:hAnsi="Times New Roman" w:cs="Times New Roman"/>
          <w:spacing w:val="-2"/>
          <w:sz w:val="21"/>
          <w:szCs w:val="21"/>
        </w:rPr>
        <w:tab/>
        <w:t>Stellung von Beweisanträgen, §</w:t>
      </w:r>
      <w:r w:rsidR="00C26669">
        <w:rPr>
          <w:rFonts w:ascii="Times New Roman" w:hAnsi="Times New Roman" w:cs="Times New Roman"/>
          <w:spacing w:val="-2"/>
          <w:sz w:val="21"/>
          <w:szCs w:val="21"/>
        </w:rPr>
        <w:t> </w:t>
      </w:r>
      <w:r w:rsidRPr="0046078E">
        <w:rPr>
          <w:rFonts w:ascii="Times New Roman" w:hAnsi="Times New Roman" w:cs="Times New Roman"/>
          <w:spacing w:val="-2"/>
          <w:sz w:val="21"/>
          <w:szCs w:val="21"/>
        </w:rPr>
        <w:t xml:space="preserve">397 </w:t>
      </w:r>
      <w:r w:rsidR="006B585C">
        <w:rPr>
          <w:rFonts w:ascii="Times New Roman" w:hAnsi="Times New Roman" w:cs="Times New Roman"/>
          <w:spacing w:val="-2"/>
          <w:sz w:val="21"/>
          <w:szCs w:val="21"/>
        </w:rPr>
        <w:t>I</w:t>
      </w:r>
      <w:r w:rsidRPr="0046078E">
        <w:rPr>
          <w:rFonts w:ascii="Times New Roman" w:hAnsi="Times New Roman" w:cs="Times New Roman"/>
          <w:spacing w:val="-2"/>
          <w:sz w:val="21"/>
          <w:szCs w:val="21"/>
        </w:rPr>
        <w:t xml:space="preserve"> 3 </w:t>
      </w:r>
      <w:proofErr w:type="spellStart"/>
      <w:r w:rsidRPr="0046078E">
        <w:rPr>
          <w:rFonts w:ascii="Times New Roman" w:hAnsi="Times New Roman" w:cs="Times New Roman"/>
          <w:spacing w:val="-2"/>
          <w:sz w:val="21"/>
          <w:szCs w:val="21"/>
        </w:rPr>
        <w:t>i.V.m</w:t>
      </w:r>
      <w:proofErr w:type="spellEnd"/>
      <w:r w:rsidRPr="0046078E">
        <w:rPr>
          <w:rFonts w:ascii="Times New Roman" w:hAnsi="Times New Roman" w:cs="Times New Roman"/>
          <w:spacing w:val="-2"/>
          <w:sz w:val="21"/>
          <w:szCs w:val="21"/>
        </w:rPr>
        <w:t xml:space="preserve">. </w:t>
      </w:r>
      <w:hyperlink r:id="rId6" w:anchor="focuspoint" w:history="1">
        <w:r w:rsidR="006B585C">
          <w:rPr>
            <w:rStyle w:val="Hyperlink"/>
            <w:rFonts w:ascii="Times New Roman" w:hAnsi="Times New Roman" w:cs="Times New Roman"/>
            <w:color w:val="auto"/>
            <w:sz w:val="21"/>
            <w:szCs w:val="21"/>
            <w:u w:val="none"/>
          </w:rPr>
          <w:t>§</w:t>
        </w:r>
        <w:r w:rsidR="00C26669">
          <w:rPr>
            <w:rStyle w:val="Hyperlink"/>
            <w:rFonts w:ascii="Times New Roman" w:hAnsi="Times New Roman" w:cs="Times New Roman"/>
            <w:color w:val="auto"/>
            <w:sz w:val="21"/>
            <w:szCs w:val="21"/>
            <w:u w:val="none"/>
          </w:rPr>
          <w:t> </w:t>
        </w:r>
        <w:r w:rsidR="006B585C">
          <w:rPr>
            <w:rStyle w:val="Hyperlink"/>
            <w:rFonts w:ascii="Times New Roman" w:hAnsi="Times New Roman" w:cs="Times New Roman"/>
            <w:color w:val="auto"/>
            <w:sz w:val="21"/>
            <w:szCs w:val="21"/>
            <w:u w:val="none"/>
          </w:rPr>
          <w:t>244 III-VI</w:t>
        </w:r>
      </w:hyperlink>
      <w:r w:rsidRPr="0046078E">
        <w:rPr>
          <w:rFonts w:ascii="Times New Roman" w:hAnsi="Times New Roman" w:cs="Times New Roman"/>
          <w:spacing w:val="-2"/>
          <w:sz w:val="21"/>
          <w:szCs w:val="21"/>
        </w:rPr>
        <w:t xml:space="preserve"> StPO</w:t>
      </w:r>
    </w:p>
    <w:p w14:paraId="5E19DD79" w14:textId="29BC21FF" w:rsidR="007F2A4C" w:rsidRPr="0046078E" w:rsidRDefault="007F2A4C" w:rsidP="00E16268">
      <w:pPr>
        <w:widowControl/>
        <w:tabs>
          <w:tab w:val="left" w:pos="-720"/>
          <w:tab w:val="left" w:pos="288"/>
          <w:tab w:val="left" w:pos="567"/>
          <w:tab w:val="left" w:pos="864"/>
          <w:tab w:val="left" w:pos="1116"/>
          <w:tab w:val="left" w:pos="1404"/>
          <w:tab w:val="left" w:pos="1692"/>
          <w:tab w:val="left" w:pos="1980"/>
          <w:tab w:val="left" w:pos="2268"/>
          <w:tab w:val="left" w:pos="2880"/>
        </w:tabs>
        <w:spacing w:line="228" w:lineRule="auto"/>
        <w:ind w:left="567" w:hanging="567"/>
        <w:jc w:val="both"/>
        <w:rPr>
          <w:rFonts w:ascii="Times New Roman" w:hAnsi="Times New Roman" w:cs="Times New Roman"/>
          <w:spacing w:val="-2"/>
          <w:sz w:val="21"/>
          <w:szCs w:val="21"/>
        </w:rPr>
      </w:pPr>
      <w:r w:rsidRPr="0046078E">
        <w:rPr>
          <w:rFonts w:ascii="Times New Roman" w:hAnsi="Times New Roman" w:cs="Times New Roman"/>
          <w:spacing w:val="-2"/>
          <w:sz w:val="21"/>
          <w:szCs w:val="21"/>
        </w:rPr>
        <w:tab/>
        <w:t>–</w:t>
      </w:r>
      <w:r w:rsidRPr="0046078E">
        <w:rPr>
          <w:rFonts w:ascii="Times New Roman" w:hAnsi="Times New Roman" w:cs="Times New Roman"/>
          <w:spacing w:val="-2"/>
          <w:sz w:val="21"/>
          <w:szCs w:val="21"/>
        </w:rPr>
        <w:tab/>
        <w:t>Befugnis, einen Richter</w:t>
      </w:r>
      <w:r w:rsidRPr="0046078E">
        <w:rPr>
          <w:rFonts w:ascii="Times New Roman" w:hAnsi="Times New Roman" w:cs="Times New Roman"/>
          <w:sz w:val="21"/>
          <w:szCs w:val="21"/>
        </w:rPr>
        <w:t xml:space="preserve"> oder Sachverständigen </w:t>
      </w:r>
      <w:r w:rsidRPr="0046078E">
        <w:rPr>
          <w:rFonts w:ascii="Times New Roman" w:hAnsi="Times New Roman" w:cs="Times New Roman"/>
          <w:spacing w:val="-2"/>
          <w:sz w:val="21"/>
          <w:szCs w:val="21"/>
        </w:rPr>
        <w:t>abzulehnen, §</w:t>
      </w:r>
      <w:r w:rsidR="00C26669">
        <w:rPr>
          <w:rFonts w:ascii="Times New Roman" w:hAnsi="Times New Roman" w:cs="Times New Roman"/>
          <w:spacing w:val="-2"/>
          <w:sz w:val="21"/>
          <w:szCs w:val="21"/>
        </w:rPr>
        <w:t> </w:t>
      </w:r>
      <w:r w:rsidRPr="0046078E">
        <w:rPr>
          <w:rFonts w:ascii="Times New Roman" w:hAnsi="Times New Roman" w:cs="Times New Roman"/>
          <w:spacing w:val="-2"/>
          <w:sz w:val="21"/>
          <w:szCs w:val="21"/>
        </w:rPr>
        <w:t xml:space="preserve">397 </w:t>
      </w:r>
      <w:r w:rsidR="007F430A">
        <w:rPr>
          <w:rFonts w:ascii="Times New Roman" w:hAnsi="Times New Roman" w:cs="Times New Roman"/>
          <w:spacing w:val="-2"/>
          <w:sz w:val="21"/>
          <w:szCs w:val="21"/>
        </w:rPr>
        <w:t>I</w:t>
      </w:r>
      <w:r w:rsidRPr="0046078E">
        <w:rPr>
          <w:rFonts w:ascii="Times New Roman" w:hAnsi="Times New Roman" w:cs="Times New Roman"/>
          <w:spacing w:val="-2"/>
          <w:sz w:val="21"/>
          <w:szCs w:val="21"/>
        </w:rPr>
        <w:t xml:space="preserve"> 3 </w:t>
      </w:r>
      <w:proofErr w:type="spellStart"/>
      <w:r w:rsidRPr="0046078E">
        <w:rPr>
          <w:rFonts w:ascii="Times New Roman" w:hAnsi="Times New Roman" w:cs="Times New Roman"/>
          <w:spacing w:val="-2"/>
          <w:sz w:val="21"/>
          <w:szCs w:val="21"/>
        </w:rPr>
        <w:t>i.V.m</w:t>
      </w:r>
      <w:proofErr w:type="spellEnd"/>
      <w:r w:rsidRPr="0046078E">
        <w:rPr>
          <w:rFonts w:ascii="Times New Roman" w:hAnsi="Times New Roman" w:cs="Times New Roman"/>
          <w:spacing w:val="-2"/>
          <w:sz w:val="21"/>
          <w:szCs w:val="21"/>
        </w:rPr>
        <w:t xml:space="preserve">. </w:t>
      </w:r>
      <w:r w:rsidRPr="0046078E">
        <w:rPr>
          <w:rFonts w:ascii="Times New Roman" w:hAnsi="Times New Roman" w:cs="Times New Roman"/>
          <w:sz w:val="21"/>
          <w:szCs w:val="21"/>
        </w:rPr>
        <w:t>§§</w:t>
      </w:r>
      <w:r w:rsidR="00C26669">
        <w:rPr>
          <w:rFonts w:ascii="Times New Roman" w:hAnsi="Times New Roman" w:cs="Times New Roman"/>
          <w:sz w:val="21"/>
          <w:szCs w:val="21"/>
        </w:rPr>
        <w:t> </w:t>
      </w:r>
      <w:r w:rsidRPr="0046078E">
        <w:rPr>
          <w:rFonts w:ascii="Times New Roman" w:hAnsi="Times New Roman" w:cs="Times New Roman"/>
          <w:sz w:val="21"/>
          <w:szCs w:val="21"/>
        </w:rPr>
        <w:t xml:space="preserve">24, 31, 74 </w:t>
      </w:r>
      <w:r w:rsidRPr="0046078E">
        <w:rPr>
          <w:rFonts w:ascii="Times New Roman" w:hAnsi="Times New Roman" w:cs="Times New Roman"/>
          <w:spacing w:val="-2"/>
          <w:sz w:val="21"/>
          <w:szCs w:val="21"/>
        </w:rPr>
        <w:t>StPO</w:t>
      </w:r>
    </w:p>
    <w:p w14:paraId="2152446C" w14:textId="317106BC" w:rsidR="007F2A4C" w:rsidRPr="0046078E" w:rsidRDefault="007F2A4C" w:rsidP="00E16268">
      <w:pPr>
        <w:widowControl/>
        <w:tabs>
          <w:tab w:val="left" w:pos="-720"/>
          <w:tab w:val="left" w:pos="288"/>
          <w:tab w:val="left" w:pos="567"/>
          <w:tab w:val="left" w:pos="864"/>
          <w:tab w:val="left" w:pos="1116"/>
          <w:tab w:val="left" w:pos="1404"/>
          <w:tab w:val="left" w:pos="1692"/>
          <w:tab w:val="left" w:pos="1980"/>
          <w:tab w:val="left" w:pos="2268"/>
          <w:tab w:val="left" w:pos="2880"/>
        </w:tabs>
        <w:spacing w:line="228" w:lineRule="auto"/>
        <w:ind w:left="567" w:hanging="567"/>
        <w:jc w:val="both"/>
        <w:rPr>
          <w:rFonts w:ascii="Times New Roman" w:hAnsi="Times New Roman" w:cs="Times New Roman"/>
          <w:spacing w:val="-2"/>
          <w:sz w:val="21"/>
          <w:szCs w:val="21"/>
        </w:rPr>
      </w:pPr>
      <w:r w:rsidRPr="0046078E">
        <w:rPr>
          <w:rFonts w:ascii="Times New Roman" w:hAnsi="Times New Roman" w:cs="Times New Roman"/>
          <w:spacing w:val="-2"/>
          <w:sz w:val="21"/>
          <w:szCs w:val="21"/>
        </w:rPr>
        <w:tab/>
        <w:t>–</w:t>
      </w:r>
      <w:r w:rsidRPr="0046078E">
        <w:rPr>
          <w:rFonts w:ascii="Times New Roman" w:hAnsi="Times New Roman" w:cs="Times New Roman"/>
          <w:spacing w:val="-2"/>
          <w:sz w:val="21"/>
          <w:szCs w:val="21"/>
        </w:rPr>
        <w:tab/>
        <w:t>Akteneinsichtsrecht, §</w:t>
      </w:r>
      <w:r w:rsidR="00C26669">
        <w:rPr>
          <w:rFonts w:ascii="Times New Roman" w:hAnsi="Times New Roman" w:cs="Times New Roman"/>
          <w:spacing w:val="-2"/>
          <w:sz w:val="21"/>
          <w:szCs w:val="21"/>
        </w:rPr>
        <w:t> </w:t>
      </w:r>
      <w:r w:rsidR="00AA6548">
        <w:rPr>
          <w:rFonts w:ascii="Times New Roman" w:hAnsi="Times New Roman" w:cs="Times New Roman"/>
          <w:spacing w:val="-2"/>
          <w:sz w:val="21"/>
          <w:szCs w:val="21"/>
        </w:rPr>
        <w:t>406e StPO</w:t>
      </w:r>
    </w:p>
    <w:p w14:paraId="6C17B86D" w14:textId="581C1EA1" w:rsidR="007F2A4C" w:rsidRPr="0046078E" w:rsidRDefault="007F2A4C" w:rsidP="00E16268">
      <w:pPr>
        <w:widowControl/>
        <w:tabs>
          <w:tab w:val="left" w:pos="-720"/>
          <w:tab w:val="left" w:pos="288"/>
          <w:tab w:val="left" w:pos="567"/>
          <w:tab w:val="left" w:pos="864"/>
          <w:tab w:val="left" w:pos="1116"/>
          <w:tab w:val="left" w:pos="1404"/>
          <w:tab w:val="left" w:pos="1692"/>
          <w:tab w:val="left" w:pos="1980"/>
          <w:tab w:val="left" w:pos="2268"/>
          <w:tab w:val="left" w:pos="2880"/>
        </w:tabs>
        <w:spacing w:line="228" w:lineRule="auto"/>
        <w:ind w:left="567" w:hanging="567"/>
        <w:jc w:val="both"/>
        <w:rPr>
          <w:rFonts w:ascii="Times New Roman" w:hAnsi="Times New Roman" w:cs="Times New Roman"/>
          <w:spacing w:val="-2"/>
          <w:sz w:val="21"/>
          <w:szCs w:val="21"/>
        </w:rPr>
      </w:pPr>
      <w:r w:rsidRPr="0046078E">
        <w:rPr>
          <w:rFonts w:ascii="Times New Roman" w:hAnsi="Times New Roman" w:cs="Times New Roman"/>
          <w:spacing w:val="-2"/>
          <w:sz w:val="21"/>
          <w:szCs w:val="21"/>
        </w:rPr>
        <w:tab/>
        <w:t>–</w:t>
      </w:r>
      <w:r w:rsidRPr="0046078E">
        <w:rPr>
          <w:rFonts w:ascii="Times New Roman" w:hAnsi="Times New Roman" w:cs="Times New Roman"/>
          <w:spacing w:val="-2"/>
          <w:sz w:val="21"/>
          <w:szCs w:val="21"/>
        </w:rPr>
        <w:tab/>
        <w:t>Möglichkeit der Prozesskostenhilfe, §</w:t>
      </w:r>
      <w:r w:rsidR="00C26669">
        <w:rPr>
          <w:rFonts w:ascii="Times New Roman" w:hAnsi="Times New Roman" w:cs="Times New Roman"/>
          <w:spacing w:val="-2"/>
          <w:sz w:val="21"/>
          <w:szCs w:val="21"/>
        </w:rPr>
        <w:t> </w:t>
      </w:r>
      <w:r w:rsidRPr="0046078E">
        <w:rPr>
          <w:rFonts w:ascii="Times New Roman" w:hAnsi="Times New Roman" w:cs="Times New Roman"/>
          <w:spacing w:val="-2"/>
          <w:sz w:val="21"/>
          <w:szCs w:val="21"/>
        </w:rPr>
        <w:t xml:space="preserve">397a </w:t>
      </w:r>
      <w:r w:rsidR="007F430A">
        <w:rPr>
          <w:rFonts w:ascii="Times New Roman" w:hAnsi="Times New Roman" w:cs="Times New Roman"/>
          <w:spacing w:val="-2"/>
          <w:sz w:val="21"/>
          <w:szCs w:val="21"/>
        </w:rPr>
        <w:t>II</w:t>
      </w:r>
      <w:r w:rsidRPr="0046078E">
        <w:rPr>
          <w:rFonts w:ascii="Times New Roman" w:hAnsi="Times New Roman" w:cs="Times New Roman"/>
          <w:spacing w:val="-2"/>
          <w:sz w:val="21"/>
          <w:szCs w:val="21"/>
        </w:rPr>
        <w:t xml:space="preserve"> StPO</w:t>
      </w:r>
    </w:p>
    <w:p w14:paraId="650B1B97" w14:textId="49CFF981" w:rsidR="007F2A4C" w:rsidRPr="0046078E" w:rsidRDefault="007F2A4C" w:rsidP="00E16268">
      <w:pPr>
        <w:widowControl/>
        <w:tabs>
          <w:tab w:val="left" w:pos="-720"/>
          <w:tab w:val="left" w:pos="288"/>
          <w:tab w:val="left" w:pos="567"/>
          <w:tab w:val="left" w:pos="864"/>
          <w:tab w:val="left" w:pos="1116"/>
          <w:tab w:val="left" w:pos="1404"/>
          <w:tab w:val="left" w:pos="1692"/>
          <w:tab w:val="left" w:pos="1980"/>
          <w:tab w:val="left" w:pos="2268"/>
          <w:tab w:val="left" w:pos="2880"/>
        </w:tabs>
        <w:spacing w:line="228" w:lineRule="auto"/>
        <w:ind w:left="567" w:hanging="567"/>
        <w:jc w:val="both"/>
        <w:rPr>
          <w:rFonts w:ascii="Times New Roman" w:hAnsi="Times New Roman" w:cs="Times New Roman"/>
          <w:spacing w:val="-2"/>
          <w:sz w:val="21"/>
          <w:szCs w:val="21"/>
        </w:rPr>
      </w:pPr>
      <w:r w:rsidRPr="0046078E">
        <w:rPr>
          <w:rFonts w:ascii="Times New Roman" w:hAnsi="Times New Roman" w:cs="Times New Roman"/>
          <w:spacing w:val="-2"/>
          <w:sz w:val="21"/>
          <w:szCs w:val="21"/>
        </w:rPr>
        <w:tab/>
        <w:t>–</w:t>
      </w:r>
      <w:r w:rsidRPr="0046078E">
        <w:rPr>
          <w:rFonts w:ascii="Times New Roman" w:hAnsi="Times New Roman" w:cs="Times New Roman"/>
          <w:spacing w:val="-2"/>
          <w:sz w:val="21"/>
          <w:szCs w:val="21"/>
        </w:rPr>
        <w:tab/>
        <w:t>Einlegung von Rechtsmitteln, §§</w:t>
      </w:r>
      <w:r w:rsidR="00C26669">
        <w:rPr>
          <w:rFonts w:ascii="Times New Roman" w:hAnsi="Times New Roman" w:cs="Times New Roman"/>
          <w:spacing w:val="-2"/>
          <w:sz w:val="21"/>
          <w:szCs w:val="21"/>
        </w:rPr>
        <w:t> </w:t>
      </w:r>
      <w:r w:rsidRPr="0046078E">
        <w:rPr>
          <w:rFonts w:ascii="Times New Roman" w:hAnsi="Times New Roman" w:cs="Times New Roman"/>
          <w:spacing w:val="-2"/>
          <w:sz w:val="21"/>
          <w:szCs w:val="21"/>
        </w:rPr>
        <w:t>400, 401 StPO</w:t>
      </w:r>
    </w:p>
    <w:p w14:paraId="762E6291" w14:textId="4AA39CBC" w:rsidR="007F2A4C" w:rsidRPr="00FC149B" w:rsidRDefault="007F2A4C" w:rsidP="00E16268">
      <w:pPr>
        <w:widowControl/>
        <w:tabs>
          <w:tab w:val="left" w:pos="-720"/>
          <w:tab w:val="left" w:pos="288"/>
          <w:tab w:val="left" w:pos="576"/>
          <w:tab w:val="left" w:pos="864"/>
          <w:tab w:val="left" w:pos="1116"/>
          <w:tab w:val="left" w:pos="1404"/>
          <w:tab w:val="left" w:pos="1692"/>
          <w:tab w:val="left" w:pos="1980"/>
          <w:tab w:val="left" w:pos="2268"/>
          <w:tab w:val="left" w:pos="2880"/>
        </w:tabs>
        <w:spacing w:line="228" w:lineRule="auto"/>
        <w:jc w:val="both"/>
        <w:rPr>
          <w:rFonts w:ascii="Times New Roman" w:hAnsi="Times New Roman"/>
          <w:b/>
          <w:spacing w:val="-2"/>
          <w:sz w:val="20"/>
        </w:rPr>
      </w:pPr>
      <w:r w:rsidRPr="0046078E">
        <w:rPr>
          <w:rFonts w:ascii="Times New Roman" w:hAnsi="Times New Roman"/>
          <w:b/>
          <w:spacing w:val="-2"/>
          <w:sz w:val="21"/>
          <w:szCs w:val="21"/>
        </w:rPr>
        <w:tab/>
      </w:r>
      <w:r w:rsidRPr="0046078E">
        <w:rPr>
          <w:rFonts w:ascii="Times New Roman" w:hAnsi="Times New Roman" w:cs="Times New Roman"/>
          <w:spacing w:val="-2"/>
          <w:sz w:val="21"/>
          <w:szCs w:val="21"/>
        </w:rPr>
        <w:t>–</w:t>
      </w:r>
      <w:r w:rsidRPr="0046078E">
        <w:rPr>
          <w:rFonts w:ascii="Times New Roman" w:hAnsi="Times New Roman"/>
          <w:spacing w:val="-2"/>
          <w:sz w:val="21"/>
          <w:szCs w:val="21"/>
        </w:rPr>
        <w:tab/>
        <w:t>Vor Anklageerhebung stehen dem nebenklagebefugten Verletzen bereits die Rechte aus §</w:t>
      </w:r>
      <w:r w:rsidR="00C26669">
        <w:rPr>
          <w:rFonts w:ascii="Times New Roman" w:hAnsi="Times New Roman"/>
          <w:spacing w:val="-2"/>
          <w:sz w:val="21"/>
          <w:szCs w:val="21"/>
        </w:rPr>
        <w:t> </w:t>
      </w:r>
      <w:r w:rsidR="009D6798" w:rsidRPr="0046078E">
        <w:rPr>
          <w:rFonts w:ascii="Times New Roman" w:hAnsi="Times New Roman"/>
          <w:spacing w:val="-2"/>
          <w:sz w:val="21"/>
          <w:szCs w:val="21"/>
        </w:rPr>
        <w:t>406</w:t>
      </w:r>
      <w:r w:rsidR="009D6798">
        <w:rPr>
          <w:rFonts w:ascii="Times New Roman" w:hAnsi="Times New Roman"/>
          <w:spacing w:val="-2"/>
          <w:sz w:val="21"/>
          <w:szCs w:val="21"/>
        </w:rPr>
        <w:t>h</w:t>
      </w:r>
      <w:r w:rsidR="009D6798" w:rsidRPr="0046078E">
        <w:rPr>
          <w:rFonts w:ascii="Times New Roman" w:hAnsi="Times New Roman"/>
          <w:spacing w:val="-2"/>
          <w:sz w:val="21"/>
          <w:szCs w:val="21"/>
        </w:rPr>
        <w:t xml:space="preserve"> </w:t>
      </w:r>
      <w:r w:rsidRPr="0046078E">
        <w:rPr>
          <w:rFonts w:ascii="Times New Roman" w:hAnsi="Times New Roman"/>
          <w:spacing w:val="-2"/>
          <w:sz w:val="21"/>
          <w:szCs w:val="21"/>
        </w:rPr>
        <w:t>StPO zur Seite</w:t>
      </w:r>
      <w:r w:rsidR="00C424DD">
        <w:rPr>
          <w:rFonts w:ascii="Times New Roman" w:hAnsi="Times New Roman"/>
          <w:spacing w:val="-2"/>
          <w:sz w:val="21"/>
          <w:szCs w:val="21"/>
        </w:rPr>
        <w:t>.</w:t>
      </w:r>
    </w:p>
    <w:p w14:paraId="6C885866" w14:textId="77777777" w:rsidR="007F2A4C" w:rsidRPr="00F155BB" w:rsidRDefault="007F2A4C">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cs="Times New Roman"/>
          <w:b/>
          <w:spacing w:val="-2"/>
          <w:sz w:val="20"/>
        </w:rPr>
      </w:pPr>
    </w:p>
    <w:p w14:paraId="45B4277B" w14:textId="22D8D3FC" w:rsidR="007F2A4C" w:rsidRPr="00FA125B" w:rsidRDefault="007F2A4C" w:rsidP="00FA125B">
      <w:pPr>
        <w:widowControl/>
        <w:tabs>
          <w:tab w:val="left" w:pos="0"/>
          <w:tab w:val="left" w:pos="567"/>
          <w:tab w:val="left" w:pos="864"/>
          <w:tab w:val="left" w:pos="1418"/>
          <w:tab w:val="left" w:pos="1985"/>
          <w:tab w:val="left" w:pos="2127"/>
          <w:tab w:val="left" w:pos="2268"/>
          <w:tab w:val="left" w:pos="2880"/>
        </w:tabs>
        <w:spacing w:line="211" w:lineRule="auto"/>
        <w:ind w:left="1985" w:hanging="1985"/>
        <w:jc w:val="both"/>
        <w:rPr>
          <w:rFonts w:ascii="Times New Roman" w:hAnsi="Times New Roman" w:cs="Times New Roman"/>
          <w:spacing w:val="-2"/>
          <w:sz w:val="15"/>
          <w:szCs w:val="15"/>
        </w:rPr>
      </w:pPr>
      <w:r w:rsidRPr="00FA125B">
        <w:rPr>
          <w:rFonts w:ascii="Times New Roman" w:hAnsi="Times New Roman" w:cs="Times New Roman"/>
          <w:b/>
          <w:spacing w:val="-2"/>
          <w:sz w:val="15"/>
          <w:szCs w:val="15"/>
        </w:rPr>
        <w:t>Literatur/Lehrbücher:</w:t>
      </w:r>
      <w:r w:rsidRPr="00FA125B">
        <w:rPr>
          <w:rFonts w:ascii="Times New Roman" w:hAnsi="Times New Roman" w:cs="Times New Roman"/>
          <w:b/>
          <w:spacing w:val="-2"/>
          <w:sz w:val="15"/>
          <w:szCs w:val="15"/>
        </w:rPr>
        <w:tab/>
      </w:r>
      <w:r w:rsidR="00114069">
        <w:rPr>
          <w:rFonts w:ascii="Times New Roman" w:hAnsi="Times New Roman" w:cs="Times New Roman"/>
          <w:b/>
          <w:spacing w:val="-2"/>
          <w:sz w:val="15"/>
          <w:szCs w:val="15"/>
        </w:rPr>
        <w:tab/>
      </w:r>
      <w:r w:rsidR="004C5291" w:rsidRPr="00FA125B">
        <w:rPr>
          <w:rFonts w:ascii="Times New Roman" w:hAnsi="Times New Roman" w:cs="Times New Roman"/>
          <w:i/>
          <w:spacing w:val="-2"/>
          <w:sz w:val="15"/>
          <w:szCs w:val="15"/>
        </w:rPr>
        <w:t>Heinrich/Reinbacher</w:t>
      </w:r>
      <w:r w:rsidR="004C5291" w:rsidRPr="00FA125B">
        <w:rPr>
          <w:rFonts w:ascii="Times New Roman" w:hAnsi="Times New Roman" w:cs="Times New Roman"/>
          <w:spacing w:val="-2"/>
          <w:sz w:val="15"/>
          <w:szCs w:val="15"/>
        </w:rPr>
        <w:t>, Examinatorium Strafprozessrecht</w:t>
      </w:r>
      <w:r w:rsidR="00A3580D" w:rsidRPr="00FA125B">
        <w:rPr>
          <w:rFonts w:ascii="Times New Roman" w:hAnsi="Times New Roman" w:cs="Times New Roman"/>
          <w:spacing w:val="-2"/>
          <w:sz w:val="15"/>
          <w:szCs w:val="15"/>
        </w:rPr>
        <w:t xml:space="preserve">, </w:t>
      </w:r>
      <w:r w:rsidR="002A23FA">
        <w:rPr>
          <w:rFonts w:ascii="Times New Roman" w:hAnsi="Times New Roman" w:cs="Times New Roman"/>
          <w:spacing w:val="-2"/>
          <w:sz w:val="15"/>
          <w:szCs w:val="15"/>
        </w:rPr>
        <w:t>4</w:t>
      </w:r>
      <w:r w:rsidR="00A3580D" w:rsidRPr="00FA125B">
        <w:rPr>
          <w:rFonts w:ascii="Times New Roman" w:hAnsi="Times New Roman" w:cs="Times New Roman"/>
          <w:spacing w:val="-2"/>
          <w:sz w:val="15"/>
          <w:szCs w:val="15"/>
        </w:rPr>
        <w:t>. Auflage 20</w:t>
      </w:r>
      <w:r w:rsidR="00FA125B" w:rsidRPr="00FA125B">
        <w:rPr>
          <w:rFonts w:ascii="Times New Roman" w:hAnsi="Times New Roman" w:cs="Times New Roman"/>
          <w:spacing w:val="-2"/>
          <w:sz w:val="15"/>
          <w:szCs w:val="15"/>
        </w:rPr>
        <w:t>2</w:t>
      </w:r>
      <w:r w:rsidR="002A23FA">
        <w:rPr>
          <w:rFonts w:ascii="Times New Roman" w:hAnsi="Times New Roman" w:cs="Times New Roman"/>
          <w:spacing w:val="-2"/>
          <w:sz w:val="15"/>
          <w:szCs w:val="15"/>
        </w:rPr>
        <w:t>3</w:t>
      </w:r>
      <w:r w:rsidR="004C5291" w:rsidRPr="00FA125B">
        <w:rPr>
          <w:rFonts w:ascii="Times New Roman" w:hAnsi="Times New Roman" w:cs="Times New Roman"/>
          <w:spacing w:val="-2"/>
          <w:sz w:val="15"/>
          <w:szCs w:val="15"/>
        </w:rPr>
        <w:t>, Problem 49.</w:t>
      </w:r>
    </w:p>
    <w:p w14:paraId="2B5B7F37" w14:textId="77777777" w:rsidR="007F2A4C" w:rsidRPr="00FA125B" w:rsidRDefault="007F2A4C" w:rsidP="00FA125B">
      <w:pPr>
        <w:widowControl/>
        <w:tabs>
          <w:tab w:val="left" w:pos="0"/>
          <w:tab w:val="left" w:pos="567"/>
          <w:tab w:val="left" w:pos="864"/>
          <w:tab w:val="left" w:pos="1418"/>
          <w:tab w:val="left" w:pos="1985"/>
          <w:tab w:val="left" w:pos="2127"/>
          <w:tab w:val="left" w:pos="2268"/>
          <w:tab w:val="left" w:pos="2880"/>
        </w:tabs>
        <w:spacing w:line="211" w:lineRule="auto"/>
        <w:ind w:left="1985" w:hanging="1985"/>
        <w:jc w:val="both"/>
        <w:rPr>
          <w:rFonts w:ascii="Times New Roman" w:hAnsi="Times New Roman" w:cs="Times New Roman"/>
          <w:b/>
          <w:bCs/>
          <w:spacing w:val="-2"/>
          <w:sz w:val="15"/>
          <w:szCs w:val="15"/>
        </w:rPr>
      </w:pPr>
      <w:r w:rsidRPr="00FA125B">
        <w:rPr>
          <w:rFonts w:ascii="Times New Roman" w:hAnsi="Times New Roman" w:cs="Times New Roman"/>
          <w:b/>
          <w:spacing w:val="-2"/>
          <w:sz w:val="15"/>
          <w:szCs w:val="15"/>
        </w:rPr>
        <w:t>Literatur/Aufsätze:</w:t>
      </w:r>
      <w:r w:rsidRPr="00FA125B">
        <w:rPr>
          <w:rFonts w:ascii="Times New Roman" w:hAnsi="Times New Roman" w:cs="Times New Roman"/>
          <w:b/>
          <w:spacing w:val="-2"/>
          <w:sz w:val="15"/>
          <w:szCs w:val="15"/>
        </w:rPr>
        <w:tab/>
      </w:r>
      <w:r w:rsidR="00360A70" w:rsidRPr="00FA125B">
        <w:rPr>
          <w:rFonts w:ascii="Times New Roman" w:hAnsi="Times New Roman" w:cs="Times New Roman"/>
          <w:b/>
          <w:spacing w:val="-2"/>
          <w:sz w:val="15"/>
          <w:szCs w:val="15"/>
        </w:rPr>
        <w:tab/>
      </w:r>
      <w:r w:rsidRPr="00FA125B">
        <w:rPr>
          <w:rFonts w:ascii="Times New Roman" w:hAnsi="Times New Roman" w:cs="Times New Roman"/>
          <w:i/>
          <w:spacing w:val="-2"/>
          <w:sz w:val="15"/>
          <w:szCs w:val="15"/>
        </w:rPr>
        <w:t>Altenhain</w:t>
      </w:r>
      <w:r w:rsidRPr="00FA125B">
        <w:rPr>
          <w:rFonts w:ascii="Times New Roman" w:hAnsi="Times New Roman" w:cs="Times New Roman"/>
          <w:spacing w:val="-2"/>
          <w:sz w:val="15"/>
          <w:szCs w:val="15"/>
        </w:rPr>
        <w:t xml:space="preserve">, </w:t>
      </w:r>
      <w:r w:rsidRPr="00FA125B">
        <w:rPr>
          <w:rFonts w:ascii="Times New Roman" w:hAnsi="Times New Roman" w:cs="Times New Roman"/>
          <w:bCs/>
          <w:spacing w:val="-2"/>
          <w:sz w:val="15"/>
          <w:szCs w:val="15"/>
        </w:rPr>
        <w:t xml:space="preserve">Angreifende und verteidigende Nebenklage, JZ 2001, 791; </w:t>
      </w:r>
      <w:proofErr w:type="spellStart"/>
      <w:r w:rsidR="00B61571" w:rsidRPr="00FA125B">
        <w:rPr>
          <w:rFonts w:ascii="Times New Roman" w:hAnsi="Times New Roman" w:cs="Times New Roman"/>
          <w:bCs/>
          <w:i/>
          <w:spacing w:val="-2"/>
          <w:sz w:val="15"/>
          <w:szCs w:val="15"/>
        </w:rPr>
        <w:t>Baumhöfener</w:t>
      </w:r>
      <w:proofErr w:type="spellEnd"/>
      <w:r w:rsidR="00B61571" w:rsidRPr="00FA125B">
        <w:rPr>
          <w:rFonts w:ascii="Times New Roman" w:hAnsi="Times New Roman" w:cs="Times New Roman"/>
          <w:bCs/>
          <w:spacing w:val="-2"/>
          <w:sz w:val="15"/>
          <w:szCs w:val="15"/>
        </w:rPr>
        <w:t>, Aktenkenntnis des Nebenklägers – Gefährdung des Untersuchungszwecks bei der Konstellation Aussag</w:t>
      </w:r>
      <w:r w:rsidR="003A1FB6" w:rsidRPr="00FA125B">
        <w:rPr>
          <w:rFonts w:ascii="Times New Roman" w:hAnsi="Times New Roman" w:cs="Times New Roman"/>
          <w:bCs/>
          <w:spacing w:val="-2"/>
          <w:sz w:val="15"/>
          <w:szCs w:val="15"/>
        </w:rPr>
        <w:t xml:space="preserve">e-gegen-Aussage, NStZ 2014, 135; </w:t>
      </w:r>
      <w:r w:rsidR="003A1FB6" w:rsidRPr="00FA125B">
        <w:rPr>
          <w:rFonts w:ascii="Times New Roman" w:hAnsi="Times New Roman" w:cs="Times New Roman"/>
          <w:bCs/>
          <w:i/>
          <w:spacing w:val="-2"/>
          <w:sz w:val="15"/>
          <w:szCs w:val="15"/>
        </w:rPr>
        <w:t>Berger</w:t>
      </w:r>
      <w:r w:rsidR="003A1FB6" w:rsidRPr="00FA125B">
        <w:rPr>
          <w:rFonts w:ascii="Times New Roman" w:hAnsi="Times New Roman" w:cs="Times New Roman"/>
          <w:bCs/>
          <w:spacing w:val="-2"/>
          <w:sz w:val="15"/>
          <w:szCs w:val="15"/>
        </w:rPr>
        <w:t xml:space="preserve">, Gruppenvertretung der Nebenklage </w:t>
      </w:r>
      <w:r w:rsidR="004F34C4">
        <w:rPr>
          <w:rFonts w:ascii="Times New Roman" w:hAnsi="Times New Roman" w:cs="Times New Roman"/>
          <w:bCs/>
          <w:spacing w:val="-2"/>
          <w:sz w:val="15"/>
          <w:szCs w:val="15"/>
        </w:rPr>
        <w:t>–</w:t>
      </w:r>
      <w:r w:rsidR="003A1FB6" w:rsidRPr="00FA125B">
        <w:rPr>
          <w:rFonts w:ascii="Times New Roman" w:hAnsi="Times New Roman" w:cs="Times New Roman"/>
          <w:bCs/>
          <w:spacing w:val="-2"/>
          <w:sz w:val="15"/>
          <w:szCs w:val="15"/>
        </w:rPr>
        <w:t xml:space="preserve"> Das Beiordnungsermessen nach § 397 a Abs. 3 S. 2 </w:t>
      </w:r>
      <w:proofErr w:type="spellStart"/>
      <w:r w:rsidR="003A1FB6" w:rsidRPr="00FA125B">
        <w:rPr>
          <w:rFonts w:ascii="Times New Roman" w:hAnsi="Times New Roman" w:cs="Times New Roman"/>
          <w:bCs/>
          <w:spacing w:val="-2"/>
          <w:sz w:val="15"/>
          <w:szCs w:val="15"/>
        </w:rPr>
        <w:t>iVm</w:t>
      </w:r>
      <w:proofErr w:type="spellEnd"/>
      <w:r w:rsidR="003A1FB6" w:rsidRPr="00FA125B">
        <w:rPr>
          <w:rFonts w:ascii="Times New Roman" w:hAnsi="Times New Roman" w:cs="Times New Roman"/>
          <w:bCs/>
          <w:spacing w:val="-2"/>
          <w:sz w:val="15"/>
          <w:szCs w:val="15"/>
        </w:rPr>
        <w:t xml:space="preserve"> § 142 Abs. 1 StPO als gesetzlich vorgesehene Beschränkungsmöglichkeit der Anzahl der Nebenklägervertreter, NStZ 2019, 251; </w:t>
      </w:r>
      <w:r w:rsidR="003A1FB6" w:rsidRPr="00FA125B">
        <w:rPr>
          <w:rFonts w:ascii="Times New Roman" w:hAnsi="Times New Roman" w:cs="Times New Roman"/>
          <w:bCs/>
          <w:i/>
          <w:spacing w:val="-2"/>
          <w:sz w:val="15"/>
          <w:szCs w:val="15"/>
        </w:rPr>
        <w:t>Eicker</w:t>
      </w:r>
      <w:r w:rsidR="003A1FB6" w:rsidRPr="00FA125B">
        <w:rPr>
          <w:rFonts w:ascii="Times New Roman" w:hAnsi="Times New Roman" w:cs="Times New Roman"/>
          <w:bCs/>
          <w:spacing w:val="-2"/>
          <w:sz w:val="15"/>
          <w:szCs w:val="15"/>
        </w:rPr>
        <w:t>, Die Revision des Nebenklägers – Eine Anleitung für die Klausur, JA 2018, 298;</w:t>
      </w:r>
      <w:r w:rsidR="00B61571" w:rsidRPr="00FA125B">
        <w:rPr>
          <w:rFonts w:ascii="Times New Roman" w:hAnsi="Times New Roman" w:cs="Times New Roman"/>
          <w:bCs/>
          <w:spacing w:val="-2"/>
          <w:sz w:val="15"/>
          <w:szCs w:val="15"/>
        </w:rPr>
        <w:t xml:space="preserve"> </w:t>
      </w:r>
      <w:r w:rsidR="00B61571" w:rsidRPr="00FA125B">
        <w:rPr>
          <w:rFonts w:ascii="Times New Roman" w:hAnsi="Times New Roman" w:cs="Times New Roman"/>
          <w:bCs/>
          <w:i/>
          <w:spacing w:val="-2"/>
          <w:sz w:val="15"/>
          <w:szCs w:val="15"/>
        </w:rPr>
        <w:t>Ferber</w:t>
      </w:r>
      <w:r w:rsidR="00B61571" w:rsidRPr="00FA125B">
        <w:rPr>
          <w:rFonts w:ascii="Times New Roman" w:hAnsi="Times New Roman" w:cs="Times New Roman"/>
          <w:bCs/>
          <w:spacing w:val="-2"/>
          <w:sz w:val="15"/>
          <w:szCs w:val="15"/>
        </w:rPr>
        <w:t xml:space="preserve">, Stärkung der Opferrechte im Strafverfahren – Das 3. Opferrechtsreformgesetz, NJW 2016, 279; </w:t>
      </w:r>
      <w:r w:rsidRPr="00FA125B">
        <w:rPr>
          <w:rFonts w:ascii="Times New Roman" w:hAnsi="Times New Roman" w:cs="Times New Roman"/>
          <w:bCs/>
          <w:i/>
          <w:spacing w:val="-2"/>
          <w:sz w:val="15"/>
          <w:szCs w:val="15"/>
        </w:rPr>
        <w:t>Gössel</w:t>
      </w:r>
      <w:r w:rsidRPr="00FA125B">
        <w:rPr>
          <w:rFonts w:ascii="Times New Roman" w:hAnsi="Times New Roman" w:cs="Times New Roman"/>
          <w:bCs/>
          <w:spacing w:val="-2"/>
          <w:sz w:val="15"/>
          <w:szCs w:val="15"/>
        </w:rPr>
        <w:t xml:space="preserve">, Zur Zulässigkeit der Nebenklage im Sicherungsverfahren, </w:t>
      </w:r>
      <w:r w:rsidRPr="00FA125B">
        <w:rPr>
          <w:rFonts w:ascii="Times New Roman" w:hAnsi="Times New Roman" w:cs="Times New Roman"/>
          <w:sz w:val="15"/>
          <w:szCs w:val="15"/>
        </w:rPr>
        <w:t>JR 2002, 437;</w:t>
      </w:r>
      <w:r w:rsidR="003473E5" w:rsidRPr="00FA125B">
        <w:rPr>
          <w:rFonts w:ascii="Times New Roman" w:hAnsi="Times New Roman" w:cs="Times New Roman"/>
          <w:sz w:val="15"/>
          <w:szCs w:val="15"/>
        </w:rPr>
        <w:t xml:space="preserve"> </w:t>
      </w:r>
      <w:r w:rsidR="003473E5" w:rsidRPr="00FA125B">
        <w:rPr>
          <w:rFonts w:ascii="Times New Roman" w:hAnsi="Times New Roman" w:cs="Times New Roman"/>
          <w:i/>
          <w:sz w:val="15"/>
          <w:szCs w:val="15"/>
        </w:rPr>
        <w:t>Huber</w:t>
      </w:r>
      <w:r w:rsidR="003473E5" w:rsidRPr="00FA125B">
        <w:rPr>
          <w:rFonts w:ascii="Times New Roman" w:hAnsi="Times New Roman" w:cs="Times New Roman"/>
          <w:sz w:val="15"/>
          <w:szCs w:val="15"/>
        </w:rPr>
        <w:t xml:space="preserve">, Grundwissen - Strafprozessrecht: Beteiligung des Verletzten durch Nebenklage, </w:t>
      </w:r>
      <w:proofErr w:type="spellStart"/>
      <w:r w:rsidR="003473E5" w:rsidRPr="00FA125B">
        <w:rPr>
          <w:rFonts w:ascii="Times New Roman" w:hAnsi="Times New Roman" w:cs="Times New Roman"/>
          <w:sz w:val="15"/>
          <w:szCs w:val="15"/>
        </w:rPr>
        <w:t>JuS</w:t>
      </w:r>
      <w:proofErr w:type="spellEnd"/>
      <w:r w:rsidR="003473E5" w:rsidRPr="00FA125B">
        <w:rPr>
          <w:rFonts w:ascii="Times New Roman" w:hAnsi="Times New Roman" w:cs="Times New Roman"/>
          <w:sz w:val="15"/>
          <w:szCs w:val="15"/>
        </w:rPr>
        <w:t xml:space="preserve"> 2018, 1044;</w:t>
      </w:r>
      <w:r w:rsidRPr="00FA125B">
        <w:rPr>
          <w:rFonts w:ascii="Times New Roman" w:hAnsi="Times New Roman" w:cs="Times New Roman"/>
          <w:sz w:val="15"/>
          <w:szCs w:val="15"/>
        </w:rPr>
        <w:t xml:space="preserve"> </w:t>
      </w:r>
      <w:r w:rsidR="00B61571" w:rsidRPr="00FA125B">
        <w:rPr>
          <w:rFonts w:ascii="Times New Roman" w:hAnsi="Times New Roman" w:cs="Times New Roman"/>
          <w:bCs/>
          <w:i/>
          <w:spacing w:val="-2"/>
          <w:sz w:val="15"/>
          <w:szCs w:val="15"/>
        </w:rPr>
        <w:t>Jahn/</w:t>
      </w:r>
      <w:proofErr w:type="spellStart"/>
      <w:r w:rsidR="00B61571" w:rsidRPr="00FA125B">
        <w:rPr>
          <w:rFonts w:ascii="Times New Roman" w:hAnsi="Times New Roman" w:cs="Times New Roman"/>
          <w:bCs/>
          <w:i/>
          <w:spacing w:val="-2"/>
          <w:sz w:val="15"/>
          <w:szCs w:val="15"/>
        </w:rPr>
        <w:t>Bung</w:t>
      </w:r>
      <w:proofErr w:type="spellEnd"/>
      <w:r w:rsidR="00B61571" w:rsidRPr="00FA125B">
        <w:rPr>
          <w:rFonts w:ascii="Times New Roman" w:hAnsi="Times New Roman" w:cs="Times New Roman"/>
          <w:bCs/>
          <w:spacing w:val="-2"/>
          <w:sz w:val="15"/>
          <w:szCs w:val="15"/>
        </w:rPr>
        <w:t xml:space="preserve">, Die Grenzen der Nebenklagebefugnis, StV 2012, 754; </w:t>
      </w:r>
      <w:proofErr w:type="spellStart"/>
      <w:r w:rsidRPr="00FA125B">
        <w:rPr>
          <w:rFonts w:ascii="Times New Roman" w:hAnsi="Times New Roman" w:cs="Times New Roman"/>
          <w:i/>
          <w:spacing w:val="-2"/>
          <w:sz w:val="15"/>
          <w:szCs w:val="15"/>
        </w:rPr>
        <w:t>Noak</w:t>
      </w:r>
      <w:proofErr w:type="spellEnd"/>
      <w:r w:rsidRPr="00FA125B">
        <w:rPr>
          <w:rFonts w:ascii="Times New Roman" w:hAnsi="Times New Roman" w:cs="Times New Roman"/>
          <w:spacing w:val="-2"/>
          <w:sz w:val="15"/>
          <w:szCs w:val="15"/>
        </w:rPr>
        <w:t xml:space="preserve">, </w:t>
      </w:r>
      <w:r w:rsidRPr="00FA125B">
        <w:rPr>
          <w:rFonts w:ascii="Times New Roman" w:hAnsi="Times New Roman" w:cs="Times New Roman"/>
          <w:bCs/>
          <w:spacing w:val="-2"/>
          <w:sz w:val="15"/>
          <w:szCs w:val="15"/>
        </w:rPr>
        <w:t xml:space="preserve">Nebenklage gegen Jugendliche und Heranwachsende, ZRP 2009, 15; </w:t>
      </w:r>
      <w:r w:rsidR="00FA125B" w:rsidRPr="00FA125B">
        <w:rPr>
          <w:rFonts w:ascii="Times New Roman" w:hAnsi="Times New Roman" w:cs="Times New Roman"/>
          <w:bCs/>
          <w:i/>
          <w:spacing w:val="-2"/>
          <w:sz w:val="15"/>
          <w:szCs w:val="15"/>
        </w:rPr>
        <w:t>Rieks</w:t>
      </w:r>
      <w:r w:rsidR="00FA125B" w:rsidRPr="00FA125B">
        <w:rPr>
          <w:rFonts w:ascii="Times New Roman" w:hAnsi="Times New Roman" w:cs="Times New Roman"/>
          <w:bCs/>
          <w:spacing w:val="-2"/>
          <w:sz w:val="15"/>
          <w:szCs w:val="15"/>
        </w:rPr>
        <w:t xml:space="preserve">, Die Nebenklage – Terra Incognita des Wirtschaftsstrafverfahrens, NStZ 2019, 643; </w:t>
      </w:r>
      <w:r w:rsidRPr="00FA125B">
        <w:rPr>
          <w:rFonts w:ascii="Times New Roman" w:hAnsi="Times New Roman" w:cs="Times New Roman"/>
          <w:bCs/>
          <w:i/>
          <w:spacing w:val="-2"/>
          <w:sz w:val="15"/>
          <w:szCs w:val="15"/>
        </w:rPr>
        <w:t>Schork</w:t>
      </w:r>
      <w:r w:rsidRPr="00FA125B">
        <w:rPr>
          <w:rFonts w:ascii="Times New Roman" w:hAnsi="Times New Roman" w:cs="Times New Roman"/>
          <w:bCs/>
          <w:spacing w:val="-2"/>
          <w:sz w:val="15"/>
          <w:szCs w:val="15"/>
        </w:rPr>
        <w:t>, Die Stellung des Opfers im Strafverfahren,</w:t>
      </w:r>
      <w:r w:rsidRPr="00FA125B">
        <w:rPr>
          <w:rFonts w:ascii="Times New Roman" w:hAnsi="Times New Roman" w:cs="Times New Roman"/>
          <w:sz w:val="15"/>
          <w:szCs w:val="15"/>
        </w:rPr>
        <w:t xml:space="preserve"> </w:t>
      </w:r>
      <w:r w:rsidRPr="00FA125B">
        <w:rPr>
          <w:rFonts w:ascii="Times New Roman" w:hAnsi="Times New Roman" w:cs="Times New Roman"/>
          <w:bCs/>
          <w:spacing w:val="-2"/>
          <w:sz w:val="15"/>
          <w:szCs w:val="15"/>
        </w:rPr>
        <w:t>Jura 2003, 304</w:t>
      </w:r>
      <w:r w:rsidR="00CB659B" w:rsidRPr="00FA125B">
        <w:rPr>
          <w:rFonts w:ascii="Times New Roman" w:hAnsi="Times New Roman" w:cs="Times New Roman"/>
          <w:bCs/>
          <w:spacing w:val="-2"/>
          <w:sz w:val="15"/>
          <w:szCs w:val="15"/>
        </w:rPr>
        <w:t>.</w:t>
      </w:r>
    </w:p>
    <w:p w14:paraId="702C192D" w14:textId="68537BAB" w:rsidR="007F2A4C" w:rsidRPr="00FA125B" w:rsidRDefault="007F2A4C" w:rsidP="00FA125B">
      <w:pPr>
        <w:widowControl/>
        <w:tabs>
          <w:tab w:val="left" w:pos="0"/>
          <w:tab w:val="left" w:pos="567"/>
          <w:tab w:val="left" w:pos="864"/>
          <w:tab w:val="left" w:pos="1418"/>
          <w:tab w:val="left" w:pos="1985"/>
          <w:tab w:val="left" w:pos="2127"/>
          <w:tab w:val="left" w:pos="2268"/>
          <w:tab w:val="left" w:pos="2880"/>
        </w:tabs>
        <w:spacing w:line="211" w:lineRule="auto"/>
        <w:ind w:left="1985" w:hanging="1985"/>
        <w:jc w:val="both"/>
        <w:outlineLvl w:val="0"/>
        <w:rPr>
          <w:rFonts w:ascii="Times New Roman" w:hAnsi="Times New Roman"/>
          <w:spacing w:val="-2"/>
          <w:sz w:val="15"/>
          <w:szCs w:val="15"/>
        </w:rPr>
      </w:pPr>
      <w:r w:rsidRPr="00FA125B">
        <w:rPr>
          <w:rFonts w:ascii="Times New Roman" w:hAnsi="Times New Roman" w:cs="Times New Roman"/>
          <w:b/>
          <w:spacing w:val="-2"/>
          <w:sz w:val="15"/>
          <w:szCs w:val="15"/>
        </w:rPr>
        <w:t>Rechtsprechung:</w:t>
      </w:r>
      <w:r w:rsidRPr="00FA125B">
        <w:rPr>
          <w:rFonts w:ascii="Times New Roman" w:hAnsi="Times New Roman" w:cs="Times New Roman"/>
          <w:b/>
          <w:spacing w:val="-2"/>
          <w:sz w:val="15"/>
          <w:szCs w:val="15"/>
        </w:rPr>
        <w:tab/>
      </w:r>
      <w:r w:rsidRPr="00FA125B">
        <w:rPr>
          <w:rFonts w:ascii="Times New Roman" w:hAnsi="Times New Roman" w:cs="Times New Roman"/>
          <w:b/>
          <w:spacing w:val="-2"/>
          <w:sz w:val="15"/>
          <w:szCs w:val="15"/>
        </w:rPr>
        <w:tab/>
        <w:t>BGHSt 37, 136</w:t>
      </w:r>
      <w:r w:rsidRPr="00FA125B">
        <w:rPr>
          <w:rFonts w:ascii="Times New Roman" w:hAnsi="Times New Roman" w:cs="Times New Roman"/>
          <w:spacing w:val="-2"/>
          <w:sz w:val="15"/>
          <w:szCs w:val="15"/>
        </w:rPr>
        <w:t xml:space="preserve"> – Revision des Nebenklägers (mangels Beschwer nicht zugunsten des Angeklagten); </w:t>
      </w:r>
      <w:r w:rsidRPr="00FA125B">
        <w:rPr>
          <w:rFonts w:ascii="Times New Roman" w:hAnsi="Times New Roman" w:cs="Times New Roman"/>
          <w:b/>
          <w:spacing w:val="-2"/>
          <w:sz w:val="15"/>
          <w:szCs w:val="15"/>
        </w:rPr>
        <w:t>BGHSt 47, 202</w:t>
      </w:r>
      <w:r w:rsidRPr="00FA125B">
        <w:rPr>
          <w:rFonts w:ascii="Times New Roman" w:hAnsi="Times New Roman" w:cs="Times New Roman"/>
          <w:spacing w:val="-2"/>
          <w:sz w:val="15"/>
          <w:szCs w:val="15"/>
        </w:rPr>
        <w:t xml:space="preserve"> –Sicherungsverfahren (Nebenklage auch im Sicherungsverfahren grundsätzlich zulässig); </w:t>
      </w:r>
      <w:r w:rsidR="00F36FF3" w:rsidRPr="00163F3B">
        <w:rPr>
          <w:rFonts w:ascii="Times New Roman" w:hAnsi="Times New Roman" w:cs="Times New Roman"/>
          <w:b/>
          <w:spacing w:val="-2"/>
          <w:sz w:val="15"/>
          <w:szCs w:val="15"/>
        </w:rPr>
        <w:t>BGHSt 65, 145</w:t>
      </w:r>
      <w:r w:rsidR="00F36FF3">
        <w:rPr>
          <w:rFonts w:ascii="Times New Roman" w:hAnsi="Times New Roman" w:cs="Times New Roman"/>
          <w:spacing w:val="-2"/>
          <w:sz w:val="15"/>
          <w:szCs w:val="15"/>
        </w:rPr>
        <w:t xml:space="preserve"> – </w:t>
      </w:r>
      <w:r w:rsidR="00C24F64">
        <w:rPr>
          <w:rFonts w:ascii="Times New Roman" w:hAnsi="Times New Roman" w:cs="Times New Roman"/>
          <w:spacing w:val="-2"/>
          <w:sz w:val="15"/>
          <w:szCs w:val="15"/>
        </w:rPr>
        <w:t>Anschluss des Nebenklägers (</w:t>
      </w:r>
      <w:r w:rsidR="00F36FF3">
        <w:rPr>
          <w:rFonts w:ascii="Times New Roman" w:hAnsi="Times New Roman" w:cs="Times New Roman"/>
          <w:spacing w:val="-2"/>
          <w:sz w:val="15"/>
          <w:szCs w:val="15"/>
        </w:rPr>
        <w:t>Nebenklage mit dem Ziel eines Freispruchs</w:t>
      </w:r>
      <w:r w:rsidR="00C24F64">
        <w:rPr>
          <w:rFonts w:ascii="Times New Roman" w:hAnsi="Times New Roman" w:cs="Times New Roman"/>
          <w:spacing w:val="-2"/>
          <w:sz w:val="15"/>
          <w:szCs w:val="15"/>
        </w:rPr>
        <w:t>)</w:t>
      </w:r>
      <w:r w:rsidR="00F36FF3">
        <w:rPr>
          <w:rFonts w:ascii="Times New Roman" w:hAnsi="Times New Roman" w:cs="Times New Roman"/>
          <w:spacing w:val="-2"/>
          <w:sz w:val="15"/>
          <w:szCs w:val="15"/>
        </w:rPr>
        <w:t xml:space="preserve">; </w:t>
      </w:r>
      <w:r w:rsidRPr="00FA125B">
        <w:rPr>
          <w:rFonts w:ascii="Times New Roman" w:hAnsi="Times New Roman" w:cs="Times New Roman"/>
          <w:b/>
          <w:spacing w:val="-2"/>
          <w:sz w:val="15"/>
          <w:szCs w:val="15"/>
        </w:rPr>
        <w:t>BGH NStZ 2009, 174</w:t>
      </w:r>
      <w:r w:rsidRPr="00FA125B">
        <w:rPr>
          <w:rFonts w:ascii="Times New Roman" w:hAnsi="Times New Roman" w:cs="Times New Roman"/>
          <w:spacing w:val="-2"/>
          <w:sz w:val="15"/>
          <w:szCs w:val="15"/>
        </w:rPr>
        <w:t xml:space="preserve"> – Mordopfer (der mutmaßlich Getötete kann nicht als Nebenkläger angeschlossen werden)</w:t>
      </w:r>
      <w:r w:rsidR="00360A70" w:rsidRPr="00FA125B">
        <w:rPr>
          <w:rFonts w:ascii="Times New Roman" w:hAnsi="Times New Roman" w:cs="Times New Roman"/>
          <w:spacing w:val="-2"/>
          <w:sz w:val="15"/>
          <w:szCs w:val="15"/>
        </w:rPr>
        <w:t xml:space="preserve">; </w:t>
      </w:r>
      <w:r w:rsidR="00360A70" w:rsidRPr="00FA125B">
        <w:rPr>
          <w:rFonts w:ascii="Times New Roman" w:hAnsi="Times New Roman" w:cs="Times New Roman"/>
          <w:b/>
          <w:spacing w:val="-2"/>
          <w:sz w:val="15"/>
          <w:szCs w:val="15"/>
        </w:rPr>
        <w:t>BGH NJW 2012, 2601</w:t>
      </w:r>
      <w:r w:rsidR="00360A70" w:rsidRPr="00FA125B">
        <w:rPr>
          <w:rFonts w:ascii="Times New Roman" w:hAnsi="Times New Roman" w:cs="Times New Roman"/>
          <w:spacing w:val="-2"/>
          <w:sz w:val="15"/>
          <w:szCs w:val="15"/>
        </w:rPr>
        <w:t xml:space="preserve"> – Untreue (ein durch die Tat verursachter wirtschaftlicher Engpass ist kein besonderer Grund </w:t>
      </w:r>
      <w:proofErr w:type="spellStart"/>
      <w:r w:rsidR="00360A70" w:rsidRPr="00FA125B">
        <w:rPr>
          <w:rFonts w:ascii="Times New Roman" w:hAnsi="Times New Roman" w:cs="Times New Roman"/>
          <w:spacing w:val="-2"/>
          <w:sz w:val="15"/>
          <w:szCs w:val="15"/>
        </w:rPr>
        <w:t>i.S.d</w:t>
      </w:r>
      <w:proofErr w:type="spellEnd"/>
      <w:r w:rsidR="00360A70" w:rsidRPr="00FA125B">
        <w:rPr>
          <w:rFonts w:ascii="Times New Roman" w:hAnsi="Times New Roman" w:cs="Times New Roman"/>
          <w:spacing w:val="-2"/>
          <w:sz w:val="15"/>
          <w:szCs w:val="15"/>
        </w:rPr>
        <w:t>. § 395 III StPO)</w:t>
      </w:r>
      <w:r w:rsidR="00404140" w:rsidRPr="00FA125B">
        <w:rPr>
          <w:rFonts w:ascii="Times New Roman" w:hAnsi="Times New Roman" w:cs="Times New Roman"/>
          <w:spacing w:val="-2"/>
          <w:sz w:val="15"/>
          <w:szCs w:val="15"/>
        </w:rPr>
        <w:t>;</w:t>
      </w:r>
      <w:r w:rsidR="00F155BB" w:rsidRPr="00FA125B">
        <w:rPr>
          <w:rFonts w:ascii="Times New Roman" w:hAnsi="Times New Roman" w:cs="Times New Roman"/>
          <w:b/>
          <w:spacing w:val="-2"/>
          <w:sz w:val="15"/>
          <w:szCs w:val="15"/>
        </w:rPr>
        <w:t xml:space="preserve"> BGH NJW 2012, 3524 </w:t>
      </w:r>
      <w:r w:rsidR="00F155BB" w:rsidRPr="00FA125B">
        <w:rPr>
          <w:rFonts w:ascii="Times New Roman" w:hAnsi="Times New Roman" w:cs="Times New Roman"/>
          <w:spacing w:val="-2"/>
          <w:sz w:val="15"/>
          <w:szCs w:val="15"/>
        </w:rPr>
        <w:t>– Reichweite und Grenzen der Nebenklagebefugnis (Ehescheidung nach türkischem Recht)</w:t>
      </w:r>
      <w:r w:rsidR="003A1FB6" w:rsidRPr="00FA125B">
        <w:rPr>
          <w:rFonts w:ascii="Times New Roman" w:hAnsi="Times New Roman" w:cs="Times New Roman"/>
          <w:spacing w:val="-2"/>
          <w:sz w:val="15"/>
          <w:szCs w:val="15"/>
        </w:rPr>
        <w:t xml:space="preserve">; </w:t>
      </w:r>
      <w:r w:rsidR="00E16268" w:rsidRPr="00FA125B">
        <w:rPr>
          <w:rFonts w:ascii="Times New Roman" w:hAnsi="Times New Roman" w:cs="Times New Roman"/>
          <w:b/>
          <w:spacing w:val="-2"/>
          <w:sz w:val="15"/>
          <w:szCs w:val="15"/>
        </w:rPr>
        <w:t>BGH NStZ-RR 2018, 256</w:t>
      </w:r>
      <w:r w:rsidR="00E16268" w:rsidRPr="00FA125B">
        <w:rPr>
          <w:rFonts w:ascii="Times New Roman" w:hAnsi="Times New Roman" w:cs="Times New Roman"/>
          <w:spacing w:val="-2"/>
          <w:sz w:val="15"/>
          <w:szCs w:val="15"/>
        </w:rPr>
        <w:t xml:space="preserve"> – Schwere körperliche oder seelische Schäden als Voraussetzung der Gewährung eines kostenlosen Opferanwalts (Beeinträchtigung durch unmittelbar gegen das Opfer gerichtete Aggressionsdelikte, mittelbar verursachte posttraumatische Belastungsstörung); </w:t>
      </w:r>
      <w:r w:rsidR="00FA125B" w:rsidRPr="00FA125B">
        <w:rPr>
          <w:rFonts w:ascii="Times New Roman" w:hAnsi="Times New Roman" w:cs="Times New Roman"/>
          <w:b/>
          <w:spacing w:val="-2"/>
          <w:sz w:val="15"/>
          <w:szCs w:val="15"/>
        </w:rPr>
        <w:t>BGH NStZ-RR 2019, 353</w:t>
      </w:r>
      <w:r w:rsidR="00FA125B" w:rsidRPr="00FA125B">
        <w:rPr>
          <w:rFonts w:ascii="Times New Roman" w:hAnsi="Times New Roman" w:cs="Times New Roman"/>
          <w:spacing w:val="-2"/>
          <w:sz w:val="15"/>
          <w:szCs w:val="15"/>
        </w:rPr>
        <w:t xml:space="preserve"> – Nebenklage bei Vollrausch (§ 323a berechtigt zur Nebenklage, wenn eines der in § 395 Abs. 1 StPO bezeichneten Delikte die Rauschtat ist und der Nebenkläger eine Verurteilung wegen dieses Delikts erstrebt); </w:t>
      </w:r>
      <w:r w:rsidR="003A1FB6" w:rsidRPr="00FA125B">
        <w:rPr>
          <w:rFonts w:ascii="Times New Roman" w:hAnsi="Times New Roman" w:cs="Times New Roman"/>
          <w:b/>
          <w:spacing w:val="-2"/>
          <w:sz w:val="15"/>
          <w:szCs w:val="15"/>
        </w:rPr>
        <w:t>LG Hamburg, NStZ-RR 2018, 322</w:t>
      </w:r>
      <w:r w:rsidR="00905C36" w:rsidRPr="00FA125B">
        <w:rPr>
          <w:rFonts w:ascii="Times New Roman" w:hAnsi="Times New Roman" w:cs="Times New Roman"/>
          <w:spacing w:val="-2"/>
          <w:sz w:val="15"/>
          <w:szCs w:val="15"/>
        </w:rPr>
        <w:t xml:space="preserve"> – Versagung von Akteneinsicht (Gefährdung des Untersuchungszwecks)</w:t>
      </w:r>
      <w:r w:rsidR="00DF6CD7">
        <w:rPr>
          <w:rFonts w:ascii="Times New Roman" w:hAnsi="Times New Roman" w:cs="Times New Roman"/>
          <w:spacing w:val="-2"/>
          <w:sz w:val="15"/>
          <w:szCs w:val="15"/>
        </w:rPr>
        <w:t>.</w:t>
      </w:r>
    </w:p>
    <w:sectPr w:rsidR="007F2A4C" w:rsidRPr="00FA125B" w:rsidSect="007F2A4C">
      <w:pgSz w:w="11900" w:h="16840"/>
      <w:pgMar w:top="567" w:right="680" w:bottom="567" w:left="119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6056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19591D"/>
    <w:multiLevelType w:val="hybridMultilevel"/>
    <w:tmpl w:val="CBFE61E2"/>
    <w:lvl w:ilvl="0" w:tplc="9F30887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6F4A4F"/>
    <w:multiLevelType w:val="hybridMultilevel"/>
    <w:tmpl w:val="A2D4495C"/>
    <w:lvl w:ilvl="0" w:tplc="B7DE5D1E">
      <w:start w:val="1"/>
      <w:numFmt w:val="bullet"/>
      <w:lvlText w:val="–"/>
      <w:lvlJc w:val="left"/>
      <w:pPr>
        <w:ind w:left="924" w:hanging="360"/>
      </w:pPr>
      <w:rPr>
        <w:rFonts w:ascii="Times New Roman" w:eastAsia="Times New Roman" w:hAnsi="Times New Roman" w:cs="Times New Roman"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 w15:restartNumberingAfterBreak="0">
    <w:nsid w:val="384E5421"/>
    <w:multiLevelType w:val="hybridMultilevel"/>
    <w:tmpl w:val="7D383C84"/>
    <w:lvl w:ilvl="0" w:tplc="85DE3E96">
      <w:start w:val="1"/>
      <w:numFmt w:val="bullet"/>
      <w:lvlText w:val="-"/>
      <w:lvlJc w:val="left"/>
      <w:pPr>
        <w:ind w:left="924" w:hanging="360"/>
      </w:pPr>
      <w:rPr>
        <w:rFonts w:ascii="Times New Roman" w:eastAsia="Times New Roman" w:hAnsi="Times New Roman" w:cs="Times New Roman"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4" w15:restartNumberingAfterBreak="0">
    <w:nsid w:val="7B5363F7"/>
    <w:multiLevelType w:val="hybridMultilevel"/>
    <w:tmpl w:val="74205AE6"/>
    <w:lvl w:ilvl="0" w:tplc="4628FF58">
      <w:start w:val="1"/>
      <w:numFmt w:val="bullet"/>
      <w:lvlText w:val="-"/>
      <w:lvlJc w:val="left"/>
      <w:pPr>
        <w:ind w:left="924" w:hanging="360"/>
      </w:pPr>
      <w:rPr>
        <w:rFonts w:ascii="Times New Roman" w:eastAsia="Times New Roman" w:hAnsi="Times New Roman" w:cs="Times New Roman"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num w:numId="1" w16cid:durableId="662666285">
    <w:abstractNumId w:val="1"/>
  </w:num>
  <w:num w:numId="2" w16cid:durableId="892159249">
    <w:abstractNumId w:val="3"/>
  </w:num>
  <w:num w:numId="3" w16cid:durableId="1922449152">
    <w:abstractNumId w:val="4"/>
  </w:num>
  <w:num w:numId="4" w16cid:durableId="672030242">
    <w:abstractNumId w:val="2"/>
  </w:num>
  <w:num w:numId="5" w16cid:durableId="146246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CB"/>
    <w:rsid w:val="00003125"/>
    <w:rsid w:val="00040FEA"/>
    <w:rsid w:val="00045063"/>
    <w:rsid w:val="00104565"/>
    <w:rsid w:val="00113DDB"/>
    <w:rsid w:val="00114069"/>
    <w:rsid w:val="00133979"/>
    <w:rsid w:val="00133CA1"/>
    <w:rsid w:val="00163F3B"/>
    <w:rsid w:val="001A7132"/>
    <w:rsid w:val="002A23FA"/>
    <w:rsid w:val="003473E5"/>
    <w:rsid w:val="00360A70"/>
    <w:rsid w:val="0037593B"/>
    <w:rsid w:val="00382C02"/>
    <w:rsid w:val="003855DA"/>
    <w:rsid w:val="003A1FB6"/>
    <w:rsid w:val="003D1CB8"/>
    <w:rsid w:val="003E40E9"/>
    <w:rsid w:val="00404140"/>
    <w:rsid w:val="004203D5"/>
    <w:rsid w:val="00465A88"/>
    <w:rsid w:val="004B3699"/>
    <w:rsid w:val="004C45C1"/>
    <w:rsid w:val="004C5291"/>
    <w:rsid w:val="004F34C4"/>
    <w:rsid w:val="00506F66"/>
    <w:rsid w:val="00556664"/>
    <w:rsid w:val="005570FC"/>
    <w:rsid w:val="0057741B"/>
    <w:rsid w:val="00586B4E"/>
    <w:rsid w:val="005F751C"/>
    <w:rsid w:val="006106CB"/>
    <w:rsid w:val="00627B1E"/>
    <w:rsid w:val="006B585C"/>
    <w:rsid w:val="006E2045"/>
    <w:rsid w:val="006F551E"/>
    <w:rsid w:val="00701B60"/>
    <w:rsid w:val="00705728"/>
    <w:rsid w:val="00711F36"/>
    <w:rsid w:val="00752155"/>
    <w:rsid w:val="00774F80"/>
    <w:rsid w:val="00784045"/>
    <w:rsid w:val="0078775A"/>
    <w:rsid w:val="007F2A4C"/>
    <w:rsid w:val="007F430A"/>
    <w:rsid w:val="0080032C"/>
    <w:rsid w:val="008242BD"/>
    <w:rsid w:val="00850265"/>
    <w:rsid w:val="00897283"/>
    <w:rsid w:val="008B7760"/>
    <w:rsid w:val="008C3914"/>
    <w:rsid w:val="00905C36"/>
    <w:rsid w:val="00966EA2"/>
    <w:rsid w:val="009D6798"/>
    <w:rsid w:val="009F765D"/>
    <w:rsid w:val="00A3580D"/>
    <w:rsid w:val="00AA6548"/>
    <w:rsid w:val="00B61571"/>
    <w:rsid w:val="00B8163F"/>
    <w:rsid w:val="00C24F64"/>
    <w:rsid w:val="00C26669"/>
    <w:rsid w:val="00C424DD"/>
    <w:rsid w:val="00CB659B"/>
    <w:rsid w:val="00D133AD"/>
    <w:rsid w:val="00D148BE"/>
    <w:rsid w:val="00D408A9"/>
    <w:rsid w:val="00D8121C"/>
    <w:rsid w:val="00DD58BF"/>
    <w:rsid w:val="00DF39B8"/>
    <w:rsid w:val="00DF6CD7"/>
    <w:rsid w:val="00E03749"/>
    <w:rsid w:val="00E16268"/>
    <w:rsid w:val="00E51634"/>
    <w:rsid w:val="00E661BE"/>
    <w:rsid w:val="00F155BB"/>
    <w:rsid w:val="00F36FF3"/>
    <w:rsid w:val="00FA12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2A0CED"/>
  <w15:chartTrackingRefBased/>
  <w15:docId w15:val="{FC6D1869-2225-4A71-B142-798AD2A2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1702"/>
    <w:pPr>
      <w:widowControl w:val="0"/>
      <w:autoSpaceDE w:val="0"/>
      <w:autoSpaceDN w:val="0"/>
      <w:adjustRightInd w:val="0"/>
    </w:pPr>
    <w:rPr>
      <w:rFonts w:ascii="Dutch Roman 12pt" w:hAnsi="Dutch Roman 12pt" w:cs="Arial Narrow"/>
      <w:sz w:val="24"/>
      <w:szCs w:val="24"/>
    </w:rPr>
  </w:style>
  <w:style w:type="paragraph" w:styleId="berschrift1">
    <w:name w:val="heading 1"/>
    <w:basedOn w:val="Standard"/>
    <w:next w:val="Standard"/>
    <w:qFormat/>
    <w:rsid w:val="005753C2"/>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81702"/>
  </w:style>
  <w:style w:type="character" w:styleId="Hyperlink">
    <w:name w:val="Hyperlink"/>
    <w:rsid w:val="006A649A"/>
    <w:rPr>
      <w:color w:val="5078A0"/>
      <w:u w:val="single"/>
    </w:rPr>
  </w:style>
  <w:style w:type="paragraph" w:styleId="Dokumentstruktur">
    <w:name w:val="Document Map"/>
    <w:basedOn w:val="Standard"/>
    <w:semiHidden/>
    <w:rsid w:val="008F1118"/>
    <w:pPr>
      <w:shd w:val="clear" w:color="auto" w:fill="000080"/>
    </w:pPr>
    <w:rPr>
      <w:rFonts w:ascii="Tahoma" w:hAnsi="Tahoma" w:cs="Tahoma"/>
      <w:sz w:val="20"/>
      <w:szCs w:val="20"/>
    </w:rPr>
  </w:style>
  <w:style w:type="paragraph" w:styleId="Sprechblasentext">
    <w:name w:val="Balloon Text"/>
    <w:basedOn w:val="Standard"/>
    <w:semiHidden/>
    <w:rsid w:val="00CB488F"/>
    <w:rPr>
      <w:rFonts w:ascii="Tahoma" w:hAnsi="Tahoma" w:cs="Tahoma"/>
      <w:sz w:val="16"/>
      <w:szCs w:val="16"/>
    </w:rPr>
  </w:style>
  <w:style w:type="character" w:customStyle="1" w:styleId="zit">
    <w:name w:val="zit"/>
    <w:rsid w:val="00360A70"/>
  </w:style>
  <w:style w:type="character" w:customStyle="1" w:styleId="unsichtbar">
    <w:name w:val="unsichtbar"/>
    <w:rsid w:val="00360A70"/>
  </w:style>
  <w:style w:type="character" w:styleId="BesuchterLink">
    <w:name w:val="FollowedHyperlink"/>
    <w:uiPriority w:val="99"/>
    <w:semiHidden/>
    <w:unhideWhenUsed/>
    <w:rsid w:val="00E661BE"/>
    <w:rPr>
      <w:color w:val="800080"/>
      <w:u w:val="single"/>
    </w:rPr>
  </w:style>
  <w:style w:type="paragraph" w:styleId="berarbeitung">
    <w:name w:val="Revision"/>
    <w:hidden/>
    <w:uiPriority w:val="71"/>
    <w:rsid w:val="002A23FA"/>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04982">
      <w:bodyDiv w:val="1"/>
      <w:marLeft w:val="0"/>
      <w:marRight w:val="0"/>
      <w:marTop w:val="0"/>
      <w:marBottom w:val="0"/>
      <w:divBdr>
        <w:top w:val="none" w:sz="0" w:space="0" w:color="auto"/>
        <w:left w:val="none" w:sz="0" w:space="0" w:color="auto"/>
        <w:bottom w:val="none" w:sz="0" w:space="0" w:color="auto"/>
        <w:right w:val="none" w:sz="0" w:space="0" w:color="auto"/>
      </w:divBdr>
    </w:div>
    <w:div w:id="9698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ris.de/jportal/portal/t/y5t/page/jurisw.psml?pid=Dokumentanzeige&amp;showdoccase=1&amp;js_peid=Trefferliste&amp;documentnumber=1&amp;numberofresults=1&amp;fromdoctodoc=yes&amp;doc.id=BJNR006290950BJNE035702305&amp;doc.part=S&amp;doc.price=0.0" TargetMode="External"/><Relationship Id="rId5" Type="http://schemas.openxmlformats.org/officeDocument/2006/relationships/hyperlink" Target="http://www.juris.de/jportal/portal/t/y5t/page/jurisw.psml?pid=Dokumentanzeige&amp;showdoccase=1&amp;js_peid=Trefferliste&amp;documentnumber=1&amp;numberofresults=1&amp;fromdoctodoc=yes&amp;doc.id=BJNR006290950BJNE037202309&amp;doc.part=S&amp;doc.price=0.0"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884</Words>
  <Characters>5574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Prof</vt:lpstr>
    </vt:vector>
  </TitlesOfParts>
  <Company>Humboldt-Universität zu Berlin</Company>
  <LinksUpToDate>false</LinksUpToDate>
  <CharactersWithSpaces>6446</CharactersWithSpaces>
  <SharedDoc>false</SharedDoc>
  <HLinks>
    <vt:vector size="12" baseType="variant">
      <vt:variant>
        <vt:i4>6225972</vt:i4>
      </vt:variant>
      <vt:variant>
        <vt:i4>6</vt:i4>
      </vt:variant>
      <vt:variant>
        <vt:i4>0</vt:i4>
      </vt:variant>
      <vt:variant>
        <vt:i4>5</vt:i4>
      </vt:variant>
      <vt:variant>
        <vt:lpwstr>http://www.juris.de/jportal/portal/t/y5t/page/jurisw.psml?pid=Dokumentanzeige&amp;showdoccase=1&amp;js_peid=Trefferliste&amp;documentnumber=1&amp;numberofresults=1&amp;fromdoctodoc=yes&amp;doc.id=BJNR006290950BJNE035702305&amp;doc.part=S&amp;doc.price=0.0</vt:lpwstr>
      </vt:variant>
      <vt:variant>
        <vt:lpwstr>focuspoint</vt:lpwstr>
      </vt:variant>
      <vt:variant>
        <vt:i4>5308465</vt:i4>
      </vt:variant>
      <vt:variant>
        <vt:i4>3</vt:i4>
      </vt:variant>
      <vt:variant>
        <vt:i4>0</vt:i4>
      </vt:variant>
      <vt:variant>
        <vt:i4>5</vt:i4>
      </vt:variant>
      <vt:variant>
        <vt:lpwstr>http://www.juris.de/jportal/portal/t/y5t/page/jurisw.psml?pid=Dokumentanzeige&amp;showdoccase=1&amp;js_peid=Trefferliste&amp;documentnumber=1&amp;numberofresults=1&amp;fromdoctodoc=yes&amp;doc.id=BJNR006290950BJNE037202309&amp;doc.part=S&amp;doc.price=0.0</vt:lpwstr>
      </vt:variant>
      <vt:variant>
        <vt:lpwstr>focuspoint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subject/>
  <dc:creator>Juristische Fakultät</dc:creator>
  <cp:keywords/>
  <cp:lastModifiedBy>Judith Schult</cp:lastModifiedBy>
  <cp:revision>2</cp:revision>
  <cp:lastPrinted>2020-10-16T12:17:00Z</cp:lastPrinted>
  <dcterms:created xsi:type="dcterms:W3CDTF">2024-10-10T15:52:00Z</dcterms:created>
  <dcterms:modified xsi:type="dcterms:W3CDTF">2024-10-10T15:52:00Z</dcterms:modified>
</cp:coreProperties>
</file>